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3FE23" w14:textId="77777777" w:rsidR="00BB1C2B" w:rsidRPr="00A534EB" w:rsidRDefault="00BB1C2B" w:rsidP="000176AC">
      <w:pPr>
        <w:spacing w:after="0" w:line="240" w:lineRule="auto"/>
        <w:rPr>
          <w:rFonts w:ascii="Times New Roman" w:hAnsi="Times New Roman" w:cs="Times New Roman"/>
          <w:b/>
          <w:sz w:val="40"/>
          <w:szCs w:val="40"/>
        </w:rPr>
      </w:pPr>
      <w:bookmarkStart w:id="0" w:name="_GoBack"/>
      <w:bookmarkEnd w:id="0"/>
      <w:r w:rsidRPr="00A534EB">
        <w:rPr>
          <w:rFonts w:ascii="Times New Roman" w:hAnsi="Times New Roman" w:cs="Times New Roman"/>
          <w:b/>
          <w:sz w:val="40"/>
          <w:szCs w:val="40"/>
        </w:rPr>
        <w:t>How the Tax Court Rewrote the Standards for Insurance Policy Selection</w:t>
      </w:r>
    </w:p>
    <w:p w14:paraId="33196D17" w14:textId="77777777" w:rsidR="00BB1C2B" w:rsidRDefault="00BB1C2B" w:rsidP="007A0410">
      <w:pPr>
        <w:spacing w:after="0" w:line="240" w:lineRule="auto"/>
        <w:rPr>
          <w:rFonts w:ascii="Times New Roman" w:hAnsi="Times New Roman" w:cs="Times New Roman"/>
          <w:b/>
          <w:sz w:val="24"/>
          <w:szCs w:val="24"/>
        </w:rPr>
      </w:pPr>
    </w:p>
    <w:p w14:paraId="717AE62A" w14:textId="77777777" w:rsidR="00BB1C2B" w:rsidRDefault="00BB1C2B" w:rsidP="007A0410">
      <w:pPr>
        <w:spacing w:after="0" w:line="240" w:lineRule="auto"/>
        <w:rPr>
          <w:rFonts w:ascii="Times New Roman" w:hAnsi="Times New Roman" w:cs="Times New Roman"/>
          <w:b/>
          <w:sz w:val="24"/>
          <w:szCs w:val="24"/>
        </w:rPr>
      </w:pPr>
      <w:r w:rsidRPr="0057223A">
        <w:rPr>
          <w:rFonts w:ascii="Times New Roman" w:hAnsi="Times New Roman" w:cs="Times New Roman"/>
          <w:b/>
          <w:sz w:val="24"/>
          <w:szCs w:val="24"/>
        </w:rPr>
        <w:t xml:space="preserve">Does Captive Insurance Exist After the </w:t>
      </w:r>
      <w:r w:rsidRPr="0057223A">
        <w:rPr>
          <w:rFonts w:ascii="Times New Roman" w:hAnsi="Times New Roman" w:cs="Times New Roman"/>
          <w:b/>
          <w:i/>
          <w:sz w:val="24"/>
          <w:szCs w:val="24"/>
        </w:rPr>
        <w:t>Reserve</w:t>
      </w:r>
      <w:r w:rsidRPr="0057223A">
        <w:rPr>
          <w:rFonts w:ascii="Times New Roman" w:hAnsi="Times New Roman" w:cs="Times New Roman"/>
          <w:b/>
          <w:sz w:val="24"/>
          <w:szCs w:val="24"/>
        </w:rPr>
        <w:t xml:space="preserve"> Decision?</w:t>
      </w:r>
    </w:p>
    <w:p w14:paraId="12DCDF28" w14:textId="77777777" w:rsidR="00BB1C2B" w:rsidRPr="00BF2AE7" w:rsidRDefault="00BB1C2B" w:rsidP="007A0410">
      <w:pPr>
        <w:spacing w:after="0" w:line="240" w:lineRule="auto"/>
        <w:rPr>
          <w:rFonts w:ascii="Times New Roman" w:hAnsi="Times New Roman" w:cs="Times New Roman"/>
          <w:b/>
          <w:sz w:val="24"/>
          <w:szCs w:val="24"/>
        </w:rPr>
      </w:pPr>
      <w:r w:rsidRPr="00A534EB">
        <w:rPr>
          <w:rFonts w:ascii="Times New Roman" w:hAnsi="Times New Roman" w:cs="Times New Roman"/>
          <w:b/>
          <w:sz w:val="24"/>
          <w:szCs w:val="24"/>
        </w:rPr>
        <w:t>Commentary #3 by Capstone Associated Services, Ltd.</w:t>
      </w:r>
    </w:p>
    <w:p w14:paraId="3E69CBC9" w14:textId="77777777" w:rsidR="00BB1C2B" w:rsidRDefault="00BB1C2B" w:rsidP="000B265A">
      <w:pPr>
        <w:jc w:val="center"/>
        <w:rPr>
          <w:rFonts w:ascii="Times New Roman" w:hAnsi="Times New Roman" w:cs="Times New Roman"/>
          <w:b/>
          <w:sz w:val="24"/>
          <w:szCs w:val="24"/>
        </w:rPr>
      </w:pPr>
    </w:p>
    <w:p w14:paraId="7BBBB814" w14:textId="77777777" w:rsidR="00BB1C2B" w:rsidRPr="00C3491F" w:rsidRDefault="00BB1C2B" w:rsidP="000B265A">
      <w:pPr>
        <w:jc w:val="center"/>
        <w:rPr>
          <w:rFonts w:ascii="Times New Roman" w:hAnsi="Times New Roman" w:cs="Times New Roman"/>
          <w:b/>
          <w:sz w:val="28"/>
          <w:szCs w:val="28"/>
        </w:rPr>
      </w:pPr>
      <w:bookmarkStart w:id="1" w:name="_Hlk533005351"/>
      <w:r w:rsidRPr="00C3491F">
        <w:rPr>
          <w:rFonts w:ascii="Times New Roman" w:hAnsi="Times New Roman" w:cs="Times New Roman"/>
          <w:b/>
          <w:sz w:val="28"/>
          <w:szCs w:val="28"/>
        </w:rPr>
        <w:t>Table of Contents</w:t>
      </w:r>
    </w:p>
    <w:tbl>
      <w:tblPr>
        <w:tblStyle w:val="TableGrid"/>
        <w:tblW w:w="9085" w:type="dxa"/>
        <w:tblLook w:val="04A0" w:firstRow="1" w:lastRow="0" w:firstColumn="1" w:lastColumn="0" w:noHBand="0" w:noVBand="1"/>
      </w:tblPr>
      <w:tblGrid>
        <w:gridCol w:w="8402"/>
        <w:gridCol w:w="683"/>
      </w:tblGrid>
      <w:tr w:rsidR="00BB1C2B" w14:paraId="4CB78373" w14:textId="77777777" w:rsidTr="000715AF">
        <w:tc>
          <w:tcPr>
            <w:tcW w:w="8492" w:type="dxa"/>
            <w:shd w:val="clear" w:color="auto" w:fill="BFBFBF" w:themeFill="background1" w:themeFillShade="BF"/>
          </w:tcPr>
          <w:p w14:paraId="6B91E434" w14:textId="77777777" w:rsidR="00BB1C2B" w:rsidRPr="00A534EB" w:rsidRDefault="00BB1C2B" w:rsidP="00C3491F">
            <w:pPr>
              <w:spacing w:after="200"/>
              <w:jc w:val="center"/>
              <w:rPr>
                <w:rFonts w:ascii="Times New Roman" w:hAnsi="Times New Roman" w:cs="Times New Roman"/>
                <w:sz w:val="24"/>
                <w:szCs w:val="24"/>
              </w:rPr>
            </w:pPr>
            <w:r w:rsidRPr="00A534EB">
              <w:rPr>
                <w:rFonts w:ascii="Times New Roman" w:hAnsi="Times New Roman" w:cs="Times New Roman"/>
                <w:sz w:val="24"/>
                <w:szCs w:val="24"/>
              </w:rPr>
              <w:t>Contents</w:t>
            </w:r>
          </w:p>
        </w:tc>
        <w:tc>
          <w:tcPr>
            <w:tcW w:w="593" w:type="dxa"/>
            <w:shd w:val="clear" w:color="auto" w:fill="BFBFBF" w:themeFill="background1" w:themeFillShade="BF"/>
          </w:tcPr>
          <w:p w14:paraId="56EC925B" w14:textId="77777777" w:rsidR="00BB1C2B" w:rsidRPr="00A534EB" w:rsidRDefault="00BB1C2B" w:rsidP="00C3491F">
            <w:pPr>
              <w:jc w:val="center"/>
              <w:rPr>
                <w:rFonts w:ascii="Times New Roman" w:hAnsi="Times New Roman" w:cs="Times New Roman"/>
                <w:sz w:val="24"/>
                <w:szCs w:val="24"/>
              </w:rPr>
            </w:pPr>
            <w:r w:rsidRPr="00A534EB">
              <w:rPr>
                <w:rFonts w:ascii="Times New Roman" w:hAnsi="Times New Roman" w:cs="Times New Roman"/>
                <w:sz w:val="24"/>
                <w:szCs w:val="24"/>
              </w:rPr>
              <w:t>Page</w:t>
            </w:r>
          </w:p>
        </w:tc>
      </w:tr>
      <w:tr w:rsidR="00BB1C2B" w:rsidRPr="00BF3DBE" w14:paraId="170224C5" w14:textId="77777777" w:rsidTr="000715AF">
        <w:tc>
          <w:tcPr>
            <w:tcW w:w="8492" w:type="dxa"/>
          </w:tcPr>
          <w:p w14:paraId="373ABD2D" w14:textId="77777777" w:rsidR="00BB1C2B" w:rsidRPr="00BF3DBE" w:rsidRDefault="00BB1C2B" w:rsidP="008830B2">
            <w:pPr>
              <w:spacing w:after="200"/>
              <w:rPr>
                <w:rFonts w:ascii="Times New Roman" w:hAnsi="Times New Roman" w:cs="Times New Roman"/>
                <w:sz w:val="28"/>
                <w:szCs w:val="28"/>
              </w:rPr>
            </w:pPr>
            <w:r w:rsidRPr="00BF3DBE">
              <w:rPr>
                <w:rFonts w:ascii="Times New Roman" w:hAnsi="Times New Roman" w:cs="Times New Roman"/>
                <w:sz w:val="28"/>
                <w:szCs w:val="28"/>
              </w:rPr>
              <w:t>Background on Business Operations of Reserve’s Insureds</w:t>
            </w:r>
          </w:p>
        </w:tc>
        <w:tc>
          <w:tcPr>
            <w:tcW w:w="593" w:type="dxa"/>
          </w:tcPr>
          <w:p w14:paraId="63783E7D" w14:textId="77777777" w:rsidR="00BB1C2B" w:rsidRPr="00BF3DBE" w:rsidRDefault="00BB1C2B" w:rsidP="004C0060">
            <w:pPr>
              <w:jc w:val="center"/>
              <w:rPr>
                <w:rFonts w:ascii="Times New Roman" w:hAnsi="Times New Roman" w:cs="Times New Roman"/>
                <w:sz w:val="28"/>
                <w:szCs w:val="28"/>
              </w:rPr>
            </w:pPr>
            <w:r>
              <w:rPr>
                <w:rFonts w:ascii="Times New Roman" w:hAnsi="Times New Roman" w:cs="Times New Roman"/>
                <w:sz w:val="28"/>
                <w:szCs w:val="28"/>
              </w:rPr>
              <w:t>1</w:t>
            </w:r>
          </w:p>
        </w:tc>
      </w:tr>
      <w:tr w:rsidR="00BB1C2B" w:rsidRPr="00BF3DBE" w14:paraId="071D8D9B" w14:textId="77777777" w:rsidTr="000715AF">
        <w:tc>
          <w:tcPr>
            <w:tcW w:w="8492" w:type="dxa"/>
          </w:tcPr>
          <w:p w14:paraId="4849477F" w14:textId="77777777" w:rsidR="00BB1C2B" w:rsidRPr="00BF3DBE" w:rsidRDefault="00BB1C2B" w:rsidP="008830B2">
            <w:pPr>
              <w:spacing w:after="200"/>
              <w:rPr>
                <w:rFonts w:ascii="Times New Roman" w:hAnsi="Times New Roman" w:cs="Times New Roman"/>
                <w:sz w:val="28"/>
                <w:szCs w:val="28"/>
              </w:rPr>
            </w:pPr>
            <w:r w:rsidRPr="00BF3DBE">
              <w:rPr>
                <w:rFonts w:ascii="Times New Roman" w:hAnsi="Times New Roman" w:cs="Times New Roman"/>
                <w:sz w:val="28"/>
                <w:szCs w:val="28"/>
              </w:rPr>
              <w:t>Witnesses Testifying at Trial</w:t>
            </w:r>
          </w:p>
        </w:tc>
        <w:tc>
          <w:tcPr>
            <w:tcW w:w="593" w:type="dxa"/>
          </w:tcPr>
          <w:p w14:paraId="3E48BA3D" w14:textId="77777777" w:rsidR="00BB1C2B" w:rsidRPr="00BF3DBE" w:rsidRDefault="00BB1C2B" w:rsidP="004C0060">
            <w:pPr>
              <w:jc w:val="center"/>
              <w:rPr>
                <w:rFonts w:ascii="Times New Roman" w:hAnsi="Times New Roman" w:cs="Times New Roman"/>
                <w:sz w:val="28"/>
                <w:szCs w:val="28"/>
              </w:rPr>
            </w:pPr>
            <w:r>
              <w:rPr>
                <w:rFonts w:ascii="Times New Roman" w:hAnsi="Times New Roman" w:cs="Times New Roman"/>
                <w:sz w:val="28"/>
                <w:szCs w:val="28"/>
              </w:rPr>
              <w:t>4</w:t>
            </w:r>
          </w:p>
        </w:tc>
      </w:tr>
      <w:tr w:rsidR="00BB1C2B" w:rsidRPr="00BF3DBE" w14:paraId="58B7051C" w14:textId="77777777" w:rsidTr="000715AF">
        <w:tc>
          <w:tcPr>
            <w:tcW w:w="8492" w:type="dxa"/>
          </w:tcPr>
          <w:p w14:paraId="13CE25D0" w14:textId="77777777" w:rsidR="00BB1C2B" w:rsidRPr="00BF3DBE" w:rsidRDefault="00BB1C2B" w:rsidP="008830B2">
            <w:pPr>
              <w:spacing w:after="200"/>
              <w:rPr>
                <w:rFonts w:ascii="Times New Roman" w:hAnsi="Times New Roman" w:cs="Times New Roman"/>
                <w:sz w:val="28"/>
                <w:szCs w:val="28"/>
              </w:rPr>
            </w:pPr>
            <w:r w:rsidRPr="00BF3DBE">
              <w:rPr>
                <w:rFonts w:ascii="Times New Roman" w:hAnsi="Times New Roman" w:cs="Times New Roman"/>
                <w:sz w:val="28"/>
                <w:szCs w:val="28"/>
              </w:rPr>
              <w:t>Parties Before the Court</w:t>
            </w:r>
          </w:p>
        </w:tc>
        <w:tc>
          <w:tcPr>
            <w:tcW w:w="593" w:type="dxa"/>
          </w:tcPr>
          <w:p w14:paraId="668D605F" w14:textId="77777777" w:rsidR="00BB1C2B" w:rsidRPr="00BF3DBE" w:rsidRDefault="00BB1C2B" w:rsidP="004C0060">
            <w:pPr>
              <w:jc w:val="center"/>
              <w:rPr>
                <w:rFonts w:ascii="Times New Roman" w:hAnsi="Times New Roman" w:cs="Times New Roman"/>
                <w:sz w:val="28"/>
                <w:szCs w:val="28"/>
              </w:rPr>
            </w:pPr>
            <w:r>
              <w:rPr>
                <w:rFonts w:ascii="Times New Roman" w:hAnsi="Times New Roman" w:cs="Times New Roman"/>
                <w:sz w:val="28"/>
                <w:szCs w:val="28"/>
              </w:rPr>
              <w:t>5</w:t>
            </w:r>
          </w:p>
        </w:tc>
      </w:tr>
      <w:tr w:rsidR="00BB1C2B" w:rsidRPr="00BF3DBE" w14:paraId="501E134E" w14:textId="77777777" w:rsidTr="000715AF">
        <w:tc>
          <w:tcPr>
            <w:tcW w:w="8492" w:type="dxa"/>
          </w:tcPr>
          <w:p w14:paraId="004BF2E5" w14:textId="77777777" w:rsidR="00BB1C2B" w:rsidRPr="00BF3DBE" w:rsidRDefault="00BB1C2B" w:rsidP="008830B2">
            <w:pPr>
              <w:spacing w:after="200"/>
              <w:rPr>
                <w:rFonts w:ascii="Times New Roman" w:hAnsi="Times New Roman" w:cs="Times New Roman"/>
                <w:sz w:val="28"/>
                <w:szCs w:val="28"/>
              </w:rPr>
            </w:pPr>
            <w:r w:rsidRPr="00BF3DBE">
              <w:rPr>
                <w:rFonts w:ascii="Times New Roman" w:hAnsi="Times New Roman" w:cs="Times New Roman"/>
                <w:sz w:val="28"/>
                <w:szCs w:val="28"/>
              </w:rPr>
              <w:t xml:space="preserve">Government’s “Tax Shelter” and “Business Purpose” Themes – Adopted by the Court </w:t>
            </w:r>
            <w:r w:rsidRPr="00C866EE">
              <w:rPr>
                <w:rFonts w:ascii="Times New Roman" w:hAnsi="Times New Roman" w:cs="Times New Roman"/>
                <w:sz w:val="28"/>
                <w:szCs w:val="28"/>
              </w:rPr>
              <w:t>Without Supporting Evidence</w:t>
            </w:r>
          </w:p>
        </w:tc>
        <w:tc>
          <w:tcPr>
            <w:tcW w:w="593" w:type="dxa"/>
          </w:tcPr>
          <w:p w14:paraId="7CB1E7FF" w14:textId="77777777" w:rsidR="00BB1C2B" w:rsidRPr="00BF3DBE" w:rsidRDefault="00BB1C2B" w:rsidP="004C0060">
            <w:pPr>
              <w:jc w:val="center"/>
              <w:rPr>
                <w:rFonts w:ascii="Times New Roman" w:hAnsi="Times New Roman" w:cs="Times New Roman"/>
                <w:sz w:val="28"/>
                <w:szCs w:val="28"/>
              </w:rPr>
            </w:pPr>
            <w:r>
              <w:rPr>
                <w:rFonts w:ascii="Times New Roman" w:hAnsi="Times New Roman" w:cs="Times New Roman"/>
                <w:sz w:val="28"/>
                <w:szCs w:val="28"/>
              </w:rPr>
              <w:t>6</w:t>
            </w:r>
          </w:p>
        </w:tc>
      </w:tr>
      <w:tr w:rsidR="00BB1C2B" w:rsidRPr="00BF3DBE" w14:paraId="0CA9EA5D" w14:textId="77777777" w:rsidTr="000715AF">
        <w:tc>
          <w:tcPr>
            <w:tcW w:w="8492" w:type="dxa"/>
          </w:tcPr>
          <w:p w14:paraId="2CD76E54" w14:textId="77777777" w:rsidR="00BB1C2B" w:rsidRPr="00BF3DBE" w:rsidRDefault="00BB1C2B" w:rsidP="008830B2">
            <w:pPr>
              <w:spacing w:after="200"/>
              <w:rPr>
                <w:rFonts w:ascii="Times New Roman" w:hAnsi="Times New Roman" w:cs="Times New Roman"/>
                <w:sz w:val="28"/>
                <w:szCs w:val="28"/>
              </w:rPr>
            </w:pPr>
            <w:r w:rsidRPr="00BF3DBE">
              <w:rPr>
                <w:rFonts w:ascii="Times New Roman" w:hAnsi="Times New Roman" w:cs="Times New Roman"/>
                <w:sz w:val="28"/>
                <w:szCs w:val="28"/>
              </w:rPr>
              <w:t>Reserve’s Direct Policies All Were Non-Duplicative and Complimentary to the Insureds’ Commercial Policies</w:t>
            </w:r>
          </w:p>
        </w:tc>
        <w:tc>
          <w:tcPr>
            <w:tcW w:w="593" w:type="dxa"/>
          </w:tcPr>
          <w:p w14:paraId="5FB061EF" w14:textId="77777777" w:rsidR="00BB1C2B" w:rsidRPr="00BF3DBE" w:rsidRDefault="00BB1C2B" w:rsidP="004C0060">
            <w:pPr>
              <w:jc w:val="center"/>
              <w:rPr>
                <w:rFonts w:ascii="Times New Roman" w:hAnsi="Times New Roman" w:cs="Times New Roman"/>
                <w:sz w:val="28"/>
                <w:szCs w:val="28"/>
              </w:rPr>
            </w:pPr>
            <w:r>
              <w:rPr>
                <w:rFonts w:ascii="Times New Roman" w:hAnsi="Times New Roman" w:cs="Times New Roman"/>
                <w:sz w:val="28"/>
                <w:szCs w:val="28"/>
              </w:rPr>
              <w:t>9</w:t>
            </w:r>
          </w:p>
        </w:tc>
      </w:tr>
      <w:tr w:rsidR="00BB1C2B" w:rsidRPr="00BF3DBE" w14:paraId="3254D94C" w14:textId="77777777" w:rsidTr="000715AF">
        <w:tc>
          <w:tcPr>
            <w:tcW w:w="8492" w:type="dxa"/>
          </w:tcPr>
          <w:p w14:paraId="6D90B1C5" w14:textId="77777777" w:rsidR="00BB1C2B" w:rsidRPr="00BF3DBE" w:rsidRDefault="00BB1C2B" w:rsidP="008830B2">
            <w:pPr>
              <w:spacing w:after="200"/>
              <w:rPr>
                <w:rFonts w:ascii="Times New Roman" w:hAnsi="Times New Roman" w:cs="Times New Roman"/>
                <w:sz w:val="28"/>
                <w:szCs w:val="28"/>
              </w:rPr>
            </w:pPr>
            <w:r w:rsidRPr="00BF3DBE">
              <w:rPr>
                <w:rFonts w:ascii="Times New Roman" w:hAnsi="Times New Roman" w:cs="Times New Roman"/>
                <w:sz w:val="28"/>
                <w:szCs w:val="28"/>
              </w:rPr>
              <w:t>Reserve’s Administrative and Professional Team</w:t>
            </w:r>
          </w:p>
        </w:tc>
        <w:tc>
          <w:tcPr>
            <w:tcW w:w="593" w:type="dxa"/>
          </w:tcPr>
          <w:p w14:paraId="6300D76A" w14:textId="77777777" w:rsidR="00BB1C2B" w:rsidRPr="00BF3DBE" w:rsidRDefault="00BB1C2B" w:rsidP="004C0060">
            <w:pPr>
              <w:jc w:val="center"/>
              <w:rPr>
                <w:rFonts w:ascii="Times New Roman" w:hAnsi="Times New Roman" w:cs="Times New Roman"/>
                <w:sz w:val="28"/>
                <w:szCs w:val="28"/>
              </w:rPr>
            </w:pPr>
            <w:r w:rsidRPr="00BF3DBE">
              <w:rPr>
                <w:rFonts w:ascii="Times New Roman" w:hAnsi="Times New Roman" w:cs="Times New Roman"/>
                <w:sz w:val="28"/>
                <w:szCs w:val="28"/>
              </w:rPr>
              <w:t>1</w:t>
            </w:r>
            <w:r>
              <w:rPr>
                <w:rFonts w:ascii="Times New Roman" w:hAnsi="Times New Roman" w:cs="Times New Roman"/>
                <w:sz w:val="28"/>
                <w:szCs w:val="28"/>
              </w:rPr>
              <w:t>2</w:t>
            </w:r>
          </w:p>
        </w:tc>
      </w:tr>
      <w:tr w:rsidR="00BB1C2B" w:rsidRPr="00BF3DBE" w14:paraId="1A2E1DB0" w14:textId="77777777" w:rsidTr="000715AF">
        <w:tc>
          <w:tcPr>
            <w:tcW w:w="8492" w:type="dxa"/>
          </w:tcPr>
          <w:p w14:paraId="7C20FFA3" w14:textId="77777777" w:rsidR="00BB1C2B" w:rsidRPr="00BF3DBE" w:rsidRDefault="00BB1C2B" w:rsidP="008830B2">
            <w:pPr>
              <w:spacing w:after="200"/>
              <w:rPr>
                <w:rFonts w:ascii="Times New Roman" w:hAnsi="Times New Roman" w:cs="Times New Roman"/>
                <w:sz w:val="28"/>
                <w:szCs w:val="28"/>
              </w:rPr>
            </w:pPr>
            <w:r w:rsidRPr="00BF3DBE">
              <w:rPr>
                <w:rFonts w:ascii="Times New Roman" w:hAnsi="Times New Roman" w:cs="Times New Roman"/>
                <w:sz w:val="28"/>
                <w:szCs w:val="28"/>
              </w:rPr>
              <w:t>The Pooling Arrangement</w:t>
            </w:r>
          </w:p>
        </w:tc>
        <w:tc>
          <w:tcPr>
            <w:tcW w:w="593" w:type="dxa"/>
          </w:tcPr>
          <w:p w14:paraId="18FC17EA" w14:textId="77777777" w:rsidR="00BB1C2B" w:rsidRPr="00BF3DBE" w:rsidRDefault="00BB1C2B" w:rsidP="004C0060">
            <w:pPr>
              <w:jc w:val="center"/>
              <w:rPr>
                <w:rFonts w:ascii="Times New Roman" w:hAnsi="Times New Roman" w:cs="Times New Roman"/>
                <w:sz w:val="28"/>
                <w:szCs w:val="28"/>
              </w:rPr>
            </w:pPr>
            <w:r w:rsidRPr="00BF3DBE">
              <w:rPr>
                <w:rFonts w:ascii="Times New Roman" w:hAnsi="Times New Roman" w:cs="Times New Roman"/>
                <w:sz w:val="28"/>
                <w:szCs w:val="28"/>
              </w:rPr>
              <w:t>1</w:t>
            </w:r>
            <w:r>
              <w:rPr>
                <w:rFonts w:ascii="Times New Roman" w:hAnsi="Times New Roman" w:cs="Times New Roman"/>
                <w:sz w:val="28"/>
                <w:szCs w:val="28"/>
              </w:rPr>
              <w:t>4</w:t>
            </w:r>
          </w:p>
        </w:tc>
      </w:tr>
      <w:tr w:rsidR="00BB1C2B" w:rsidRPr="00BF3DBE" w14:paraId="55B9343B" w14:textId="77777777" w:rsidTr="000715AF">
        <w:tc>
          <w:tcPr>
            <w:tcW w:w="8492" w:type="dxa"/>
          </w:tcPr>
          <w:p w14:paraId="7635ACD2" w14:textId="77777777" w:rsidR="00BB1C2B" w:rsidRPr="00BF3DBE" w:rsidRDefault="00BB1C2B" w:rsidP="008830B2">
            <w:pPr>
              <w:spacing w:after="200"/>
              <w:rPr>
                <w:rFonts w:ascii="Times New Roman" w:hAnsi="Times New Roman" w:cs="Times New Roman"/>
                <w:sz w:val="28"/>
                <w:szCs w:val="28"/>
              </w:rPr>
            </w:pPr>
            <w:r w:rsidRPr="00BF3DBE">
              <w:rPr>
                <w:rFonts w:ascii="Times New Roman" w:hAnsi="Times New Roman" w:cs="Times New Roman"/>
                <w:sz w:val="28"/>
                <w:szCs w:val="28"/>
              </w:rPr>
              <w:t>Evidentiary Issues – The Court’s Unsupported Factual Findings</w:t>
            </w:r>
          </w:p>
        </w:tc>
        <w:tc>
          <w:tcPr>
            <w:tcW w:w="593" w:type="dxa"/>
          </w:tcPr>
          <w:p w14:paraId="0433E3DC" w14:textId="77777777" w:rsidR="00BB1C2B" w:rsidRPr="00BF3DBE" w:rsidRDefault="00BB1C2B" w:rsidP="004C0060">
            <w:pPr>
              <w:jc w:val="center"/>
              <w:rPr>
                <w:rFonts w:ascii="Times New Roman" w:hAnsi="Times New Roman" w:cs="Times New Roman"/>
                <w:sz w:val="28"/>
                <w:szCs w:val="28"/>
              </w:rPr>
            </w:pPr>
            <w:r>
              <w:rPr>
                <w:rFonts w:ascii="Times New Roman" w:hAnsi="Times New Roman" w:cs="Times New Roman"/>
                <w:sz w:val="28"/>
                <w:szCs w:val="28"/>
              </w:rPr>
              <w:t>17</w:t>
            </w:r>
          </w:p>
        </w:tc>
      </w:tr>
      <w:tr w:rsidR="00BB1C2B" w:rsidRPr="00BF3DBE" w14:paraId="58AF27D9" w14:textId="77777777" w:rsidTr="000715AF">
        <w:tc>
          <w:tcPr>
            <w:tcW w:w="8492" w:type="dxa"/>
          </w:tcPr>
          <w:p w14:paraId="3D1595F3" w14:textId="77777777" w:rsidR="00BB1C2B" w:rsidRPr="00BF3DBE" w:rsidRDefault="00BB1C2B" w:rsidP="008830B2">
            <w:pPr>
              <w:spacing w:after="200"/>
              <w:rPr>
                <w:rFonts w:ascii="Times New Roman" w:hAnsi="Times New Roman" w:cs="Times New Roman"/>
                <w:sz w:val="28"/>
                <w:szCs w:val="28"/>
              </w:rPr>
            </w:pPr>
            <w:r w:rsidRPr="00BF3DBE">
              <w:rPr>
                <w:rFonts w:ascii="Times New Roman" w:hAnsi="Times New Roman" w:cs="Times New Roman"/>
                <w:sz w:val="28"/>
                <w:szCs w:val="28"/>
              </w:rPr>
              <w:t>New Concepts Introduced by This Court on Insurance Policy Selection and Related Issues</w:t>
            </w:r>
          </w:p>
        </w:tc>
        <w:tc>
          <w:tcPr>
            <w:tcW w:w="593" w:type="dxa"/>
          </w:tcPr>
          <w:p w14:paraId="00264EF1" w14:textId="77777777" w:rsidR="00BB1C2B" w:rsidRPr="00BF3DBE" w:rsidRDefault="00BB1C2B" w:rsidP="004C0060">
            <w:pPr>
              <w:jc w:val="center"/>
              <w:rPr>
                <w:rFonts w:ascii="Times New Roman" w:hAnsi="Times New Roman" w:cs="Times New Roman"/>
                <w:sz w:val="28"/>
                <w:szCs w:val="28"/>
              </w:rPr>
            </w:pPr>
            <w:r>
              <w:rPr>
                <w:rFonts w:ascii="Times New Roman" w:hAnsi="Times New Roman" w:cs="Times New Roman"/>
                <w:sz w:val="28"/>
                <w:szCs w:val="28"/>
              </w:rPr>
              <w:t>20</w:t>
            </w:r>
          </w:p>
        </w:tc>
      </w:tr>
      <w:tr w:rsidR="00BB1C2B" w:rsidRPr="00BF3DBE" w14:paraId="0D4AD024" w14:textId="77777777" w:rsidTr="000715AF">
        <w:tc>
          <w:tcPr>
            <w:tcW w:w="8492" w:type="dxa"/>
          </w:tcPr>
          <w:p w14:paraId="5298A7CB" w14:textId="77777777" w:rsidR="00BB1C2B" w:rsidRPr="00BF3DBE" w:rsidRDefault="00BB1C2B" w:rsidP="00D30F44">
            <w:pPr>
              <w:spacing w:after="200"/>
              <w:ind w:left="1140" w:hanging="390"/>
              <w:rPr>
                <w:rFonts w:ascii="Times New Roman" w:hAnsi="Times New Roman" w:cs="Times New Roman"/>
                <w:sz w:val="28"/>
                <w:szCs w:val="28"/>
              </w:rPr>
            </w:pPr>
            <w:r w:rsidRPr="00BF3DBE">
              <w:rPr>
                <w:rFonts w:ascii="Times New Roman" w:hAnsi="Times New Roman" w:cs="Times New Roman"/>
                <w:sz w:val="28"/>
                <w:szCs w:val="28"/>
              </w:rPr>
              <w:t xml:space="preserve">A.  </w:t>
            </w:r>
            <w:r w:rsidRPr="00E310BF">
              <w:rPr>
                <w:rFonts w:ascii="Times New Roman" w:hAnsi="Times New Roman" w:cs="Times New Roman"/>
                <w:b/>
                <w:i/>
                <w:sz w:val="28"/>
                <w:szCs w:val="28"/>
              </w:rPr>
              <w:t>Insurer</w:t>
            </w:r>
            <w:r w:rsidRPr="00BF3DBE">
              <w:rPr>
                <w:rFonts w:ascii="Times New Roman" w:hAnsi="Times New Roman" w:cs="Times New Roman"/>
                <w:sz w:val="28"/>
                <w:szCs w:val="28"/>
              </w:rPr>
              <w:t xml:space="preserve"> Must Show an </w:t>
            </w:r>
            <w:r w:rsidRPr="00E310BF">
              <w:rPr>
                <w:rFonts w:ascii="Times New Roman" w:hAnsi="Times New Roman" w:cs="Times New Roman"/>
                <w:b/>
                <w:i/>
                <w:sz w:val="28"/>
                <w:szCs w:val="28"/>
              </w:rPr>
              <w:t>Insured’s</w:t>
            </w:r>
            <w:r w:rsidRPr="00BF3DBE">
              <w:rPr>
                <w:rFonts w:ascii="Times New Roman" w:hAnsi="Times New Roman" w:cs="Times New Roman"/>
                <w:sz w:val="28"/>
                <w:szCs w:val="28"/>
              </w:rPr>
              <w:t xml:space="preserve"> “Business Purpose” for a Policy to be Considered Insurance</w:t>
            </w:r>
          </w:p>
        </w:tc>
        <w:tc>
          <w:tcPr>
            <w:tcW w:w="593" w:type="dxa"/>
          </w:tcPr>
          <w:p w14:paraId="4569F78E" w14:textId="77777777" w:rsidR="00BB1C2B" w:rsidRPr="00BF3DBE" w:rsidRDefault="00BB1C2B" w:rsidP="004C0060">
            <w:pPr>
              <w:jc w:val="center"/>
              <w:rPr>
                <w:rFonts w:ascii="Times New Roman" w:hAnsi="Times New Roman" w:cs="Times New Roman"/>
                <w:sz w:val="28"/>
                <w:szCs w:val="28"/>
              </w:rPr>
            </w:pPr>
            <w:r>
              <w:rPr>
                <w:rFonts w:ascii="Times New Roman" w:hAnsi="Times New Roman" w:cs="Times New Roman"/>
                <w:sz w:val="28"/>
                <w:szCs w:val="28"/>
              </w:rPr>
              <w:t>20</w:t>
            </w:r>
          </w:p>
        </w:tc>
      </w:tr>
      <w:tr w:rsidR="00BB1C2B" w:rsidRPr="00BF3DBE" w14:paraId="41CC507A" w14:textId="77777777" w:rsidTr="000715AF">
        <w:tc>
          <w:tcPr>
            <w:tcW w:w="8492" w:type="dxa"/>
          </w:tcPr>
          <w:p w14:paraId="0A1FA87C" w14:textId="77777777" w:rsidR="00BB1C2B" w:rsidRPr="00BF3DBE" w:rsidRDefault="00BB1C2B" w:rsidP="000B265A">
            <w:pPr>
              <w:spacing w:after="200"/>
              <w:ind w:left="1140" w:hanging="390"/>
              <w:rPr>
                <w:rFonts w:ascii="Times New Roman" w:hAnsi="Times New Roman" w:cs="Times New Roman"/>
                <w:sz w:val="28"/>
                <w:szCs w:val="28"/>
              </w:rPr>
            </w:pPr>
            <w:r w:rsidRPr="00BF3DBE">
              <w:rPr>
                <w:rFonts w:ascii="Times New Roman" w:hAnsi="Times New Roman" w:cs="Times New Roman"/>
                <w:sz w:val="28"/>
                <w:szCs w:val="28"/>
              </w:rPr>
              <w:t>B.  Insureds Must Show Previous Actual Loss History for a Policy to be Insurance</w:t>
            </w:r>
          </w:p>
        </w:tc>
        <w:tc>
          <w:tcPr>
            <w:tcW w:w="593" w:type="dxa"/>
          </w:tcPr>
          <w:p w14:paraId="7B8F4162" w14:textId="77777777" w:rsidR="00BB1C2B" w:rsidRPr="00BF3DBE" w:rsidRDefault="00BB1C2B" w:rsidP="004C0060">
            <w:pPr>
              <w:jc w:val="center"/>
              <w:rPr>
                <w:rFonts w:ascii="Times New Roman" w:hAnsi="Times New Roman" w:cs="Times New Roman"/>
                <w:sz w:val="28"/>
                <w:szCs w:val="28"/>
              </w:rPr>
            </w:pPr>
            <w:r>
              <w:rPr>
                <w:rFonts w:ascii="Times New Roman" w:hAnsi="Times New Roman" w:cs="Times New Roman"/>
                <w:sz w:val="28"/>
                <w:szCs w:val="28"/>
              </w:rPr>
              <w:t>24</w:t>
            </w:r>
          </w:p>
        </w:tc>
      </w:tr>
      <w:tr w:rsidR="00BB1C2B" w:rsidRPr="00BF3DBE" w14:paraId="5291058F" w14:textId="77777777" w:rsidTr="000715AF">
        <w:tc>
          <w:tcPr>
            <w:tcW w:w="8492" w:type="dxa"/>
          </w:tcPr>
          <w:p w14:paraId="5638262B" w14:textId="77777777" w:rsidR="00BB1C2B" w:rsidRPr="00BF3DBE" w:rsidRDefault="00BB1C2B" w:rsidP="000B265A">
            <w:pPr>
              <w:spacing w:after="200"/>
              <w:ind w:left="1140" w:hanging="390"/>
              <w:rPr>
                <w:rFonts w:ascii="Times New Roman" w:hAnsi="Times New Roman" w:cs="Times New Roman"/>
                <w:sz w:val="28"/>
                <w:szCs w:val="28"/>
              </w:rPr>
            </w:pPr>
            <w:r w:rsidRPr="00BF3DBE">
              <w:rPr>
                <w:rFonts w:ascii="Times New Roman" w:hAnsi="Times New Roman" w:cs="Times New Roman"/>
                <w:sz w:val="28"/>
                <w:szCs w:val="28"/>
              </w:rPr>
              <w:t>C.  Commercial Policies Must First Be Exhausted for a Policy to be Insurance</w:t>
            </w:r>
          </w:p>
        </w:tc>
        <w:tc>
          <w:tcPr>
            <w:tcW w:w="593" w:type="dxa"/>
          </w:tcPr>
          <w:p w14:paraId="431D3542" w14:textId="77777777" w:rsidR="00BB1C2B" w:rsidRPr="00BF3DBE" w:rsidRDefault="00BB1C2B" w:rsidP="004C0060">
            <w:pPr>
              <w:jc w:val="center"/>
              <w:rPr>
                <w:rFonts w:ascii="Times New Roman" w:hAnsi="Times New Roman" w:cs="Times New Roman"/>
                <w:sz w:val="28"/>
                <w:szCs w:val="28"/>
              </w:rPr>
            </w:pPr>
            <w:r>
              <w:rPr>
                <w:rFonts w:ascii="Times New Roman" w:hAnsi="Times New Roman" w:cs="Times New Roman"/>
                <w:sz w:val="28"/>
                <w:szCs w:val="28"/>
              </w:rPr>
              <w:t>25</w:t>
            </w:r>
          </w:p>
        </w:tc>
      </w:tr>
      <w:tr w:rsidR="00BB1C2B" w:rsidRPr="00BF3DBE" w14:paraId="352CAFEF" w14:textId="77777777" w:rsidTr="000715AF">
        <w:tc>
          <w:tcPr>
            <w:tcW w:w="8492" w:type="dxa"/>
          </w:tcPr>
          <w:p w14:paraId="208F1DF6" w14:textId="77777777" w:rsidR="00BB1C2B" w:rsidRPr="00BF3DBE" w:rsidRDefault="00BB1C2B" w:rsidP="000B265A">
            <w:pPr>
              <w:spacing w:after="200"/>
              <w:ind w:left="1140" w:hanging="390"/>
              <w:rPr>
                <w:rFonts w:ascii="Times New Roman" w:hAnsi="Times New Roman" w:cs="Times New Roman"/>
                <w:sz w:val="28"/>
                <w:szCs w:val="28"/>
              </w:rPr>
            </w:pPr>
            <w:r w:rsidRPr="00BF3DBE">
              <w:rPr>
                <w:rFonts w:ascii="Times New Roman" w:hAnsi="Times New Roman" w:cs="Times New Roman"/>
                <w:sz w:val="28"/>
                <w:szCs w:val="28"/>
              </w:rPr>
              <w:t>D.  PoolRe Must be a “Bona Fide Insurance Company” – A Non-Contested Issue at Trial</w:t>
            </w:r>
          </w:p>
        </w:tc>
        <w:tc>
          <w:tcPr>
            <w:tcW w:w="593" w:type="dxa"/>
          </w:tcPr>
          <w:p w14:paraId="2D7D2622" w14:textId="77777777" w:rsidR="00BB1C2B" w:rsidRPr="00BF3DBE" w:rsidRDefault="00BB1C2B" w:rsidP="004C0060">
            <w:pPr>
              <w:jc w:val="center"/>
              <w:rPr>
                <w:rFonts w:ascii="Times New Roman" w:hAnsi="Times New Roman" w:cs="Times New Roman"/>
                <w:sz w:val="28"/>
                <w:szCs w:val="28"/>
              </w:rPr>
            </w:pPr>
            <w:r>
              <w:rPr>
                <w:rFonts w:ascii="Times New Roman" w:hAnsi="Times New Roman" w:cs="Times New Roman"/>
                <w:sz w:val="28"/>
                <w:szCs w:val="28"/>
              </w:rPr>
              <w:t>26</w:t>
            </w:r>
          </w:p>
        </w:tc>
      </w:tr>
      <w:tr w:rsidR="00BB1C2B" w:rsidRPr="00BF3DBE" w14:paraId="3EE6488F" w14:textId="77777777" w:rsidTr="000715AF">
        <w:tc>
          <w:tcPr>
            <w:tcW w:w="8492" w:type="dxa"/>
          </w:tcPr>
          <w:p w14:paraId="0E66258A" w14:textId="77777777" w:rsidR="00BB1C2B" w:rsidRPr="00BF3DBE" w:rsidRDefault="00BB1C2B" w:rsidP="00FD5957">
            <w:pPr>
              <w:spacing w:after="200"/>
              <w:rPr>
                <w:rFonts w:ascii="Times New Roman" w:hAnsi="Times New Roman" w:cs="Times New Roman"/>
                <w:sz w:val="28"/>
                <w:szCs w:val="28"/>
              </w:rPr>
            </w:pPr>
            <w:r>
              <w:rPr>
                <w:rFonts w:ascii="Times New Roman" w:hAnsi="Times New Roman" w:cs="Times New Roman"/>
                <w:sz w:val="28"/>
                <w:szCs w:val="28"/>
              </w:rPr>
              <w:t>Endnotes</w:t>
            </w:r>
          </w:p>
        </w:tc>
        <w:tc>
          <w:tcPr>
            <w:tcW w:w="593" w:type="dxa"/>
          </w:tcPr>
          <w:p w14:paraId="7FBADE12" w14:textId="77777777" w:rsidR="00BB1C2B" w:rsidRDefault="00BB1C2B" w:rsidP="004C0060">
            <w:pPr>
              <w:jc w:val="center"/>
              <w:rPr>
                <w:rFonts w:ascii="Times New Roman" w:hAnsi="Times New Roman" w:cs="Times New Roman"/>
                <w:sz w:val="28"/>
                <w:szCs w:val="28"/>
              </w:rPr>
            </w:pPr>
            <w:r>
              <w:rPr>
                <w:rFonts w:ascii="Times New Roman" w:hAnsi="Times New Roman" w:cs="Times New Roman"/>
                <w:sz w:val="28"/>
                <w:szCs w:val="28"/>
              </w:rPr>
              <w:t>28</w:t>
            </w:r>
          </w:p>
        </w:tc>
      </w:tr>
    </w:tbl>
    <w:bookmarkEnd w:id="1"/>
    <w:p w14:paraId="62C51F8F" w14:textId="31166028" w:rsidR="00364083" w:rsidRDefault="00364083" w:rsidP="003077DF">
      <w:pPr>
        <w:autoSpaceDE w:val="0"/>
        <w:autoSpaceDN w:val="0"/>
        <w:adjustRightInd w:val="0"/>
        <w:spacing w:after="0" w:line="240" w:lineRule="auto"/>
        <w:rPr>
          <w:rFonts w:ascii="Times New Roman" w:hAnsi="Times New Roman" w:cs="Times New Roman"/>
          <w:b/>
          <w:i/>
          <w:sz w:val="28"/>
          <w:szCs w:val="28"/>
        </w:rPr>
      </w:pPr>
      <w:r>
        <w:rPr>
          <w:rFonts w:ascii="Times New Roman" w:hAnsi="Times New Roman" w:cs="Times New Roman"/>
          <w:b/>
          <w:i/>
          <w:sz w:val="28"/>
          <w:szCs w:val="28"/>
        </w:rPr>
        <w:lastRenderedPageBreak/>
        <w:t xml:space="preserve">Commentary </w:t>
      </w:r>
      <w:r w:rsidR="00D227B5">
        <w:rPr>
          <w:rFonts w:ascii="Times New Roman" w:hAnsi="Times New Roman" w:cs="Times New Roman"/>
          <w:b/>
          <w:i/>
          <w:sz w:val="28"/>
          <w:szCs w:val="28"/>
        </w:rPr>
        <w:t xml:space="preserve">#3 </w:t>
      </w:r>
      <w:r>
        <w:rPr>
          <w:rFonts w:ascii="Times New Roman" w:hAnsi="Times New Roman" w:cs="Times New Roman"/>
          <w:b/>
          <w:i/>
          <w:sz w:val="28"/>
          <w:szCs w:val="28"/>
        </w:rPr>
        <w:t>by Capstone Associated Services, Ltd.</w:t>
      </w:r>
    </w:p>
    <w:p w14:paraId="3F589F3E" w14:textId="77777777" w:rsidR="00364083" w:rsidRDefault="00364083" w:rsidP="003077DF">
      <w:pPr>
        <w:spacing w:after="0" w:line="240" w:lineRule="auto"/>
        <w:rPr>
          <w:rFonts w:ascii="Times New Roman" w:eastAsia="Times New Roman" w:hAnsi="Times New Roman" w:cs="Times New Roman"/>
          <w:b/>
          <w:spacing w:val="-1"/>
          <w:sz w:val="28"/>
          <w:szCs w:val="28"/>
        </w:rPr>
      </w:pPr>
    </w:p>
    <w:p w14:paraId="45E1F5C0" w14:textId="77777777" w:rsidR="00364083" w:rsidRPr="003B26CE" w:rsidRDefault="00364083" w:rsidP="003077DF">
      <w:pPr>
        <w:spacing w:after="0" w:line="240" w:lineRule="auto"/>
        <w:rPr>
          <w:rFonts w:ascii="Times New Roman" w:hAnsi="Times New Roman" w:cs="Times New Roman"/>
          <w:sz w:val="32"/>
          <w:szCs w:val="32"/>
        </w:rPr>
      </w:pPr>
      <w:r w:rsidRPr="003B26CE">
        <w:rPr>
          <w:rFonts w:ascii="Times New Roman" w:eastAsia="Times New Roman" w:hAnsi="Times New Roman" w:cs="Times New Roman"/>
          <w:b/>
          <w:spacing w:val="-1"/>
          <w:sz w:val="32"/>
          <w:szCs w:val="32"/>
        </w:rPr>
        <w:t>D</w:t>
      </w:r>
      <w:r w:rsidRPr="003B26CE">
        <w:rPr>
          <w:rFonts w:ascii="Times New Roman" w:eastAsia="Times New Roman" w:hAnsi="Times New Roman" w:cs="Times New Roman"/>
          <w:b/>
          <w:spacing w:val="1"/>
          <w:sz w:val="32"/>
          <w:szCs w:val="32"/>
        </w:rPr>
        <w:t>o</w:t>
      </w:r>
      <w:r w:rsidRPr="003B26CE">
        <w:rPr>
          <w:rFonts w:ascii="Times New Roman" w:eastAsia="Times New Roman" w:hAnsi="Times New Roman" w:cs="Times New Roman"/>
          <w:b/>
          <w:sz w:val="32"/>
          <w:szCs w:val="32"/>
        </w:rPr>
        <w:t>es</w:t>
      </w:r>
      <w:r w:rsidRPr="003B26CE">
        <w:rPr>
          <w:rFonts w:ascii="Times New Roman" w:eastAsia="Times New Roman" w:hAnsi="Times New Roman" w:cs="Times New Roman"/>
          <w:b/>
          <w:spacing w:val="1"/>
          <w:sz w:val="32"/>
          <w:szCs w:val="32"/>
        </w:rPr>
        <w:t xml:space="preserve"> </w:t>
      </w:r>
      <w:r w:rsidRPr="003B26CE">
        <w:rPr>
          <w:rFonts w:ascii="Times New Roman" w:eastAsia="Times New Roman" w:hAnsi="Times New Roman" w:cs="Times New Roman"/>
          <w:b/>
          <w:spacing w:val="-1"/>
          <w:sz w:val="32"/>
          <w:szCs w:val="32"/>
        </w:rPr>
        <w:t>Ca</w:t>
      </w:r>
      <w:r w:rsidRPr="003B26CE">
        <w:rPr>
          <w:rFonts w:ascii="Times New Roman" w:eastAsia="Times New Roman" w:hAnsi="Times New Roman" w:cs="Times New Roman"/>
          <w:b/>
          <w:sz w:val="32"/>
          <w:szCs w:val="32"/>
        </w:rPr>
        <w:t>pt</w:t>
      </w:r>
      <w:r w:rsidRPr="003B26CE">
        <w:rPr>
          <w:rFonts w:ascii="Times New Roman" w:eastAsia="Times New Roman" w:hAnsi="Times New Roman" w:cs="Times New Roman"/>
          <w:b/>
          <w:spacing w:val="-1"/>
          <w:sz w:val="32"/>
          <w:szCs w:val="32"/>
        </w:rPr>
        <w:t>i</w:t>
      </w:r>
      <w:r w:rsidRPr="003B26CE">
        <w:rPr>
          <w:rFonts w:ascii="Times New Roman" w:eastAsia="Times New Roman" w:hAnsi="Times New Roman" w:cs="Times New Roman"/>
          <w:b/>
          <w:spacing w:val="1"/>
          <w:sz w:val="32"/>
          <w:szCs w:val="32"/>
        </w:rPr>
        <w:t>v</w:t>
      </w:r>
      <w:r w:rsidRPr="003B26CE">
        <w:rPr>
          <w:rFonts w:ascii="Times New Roman" w:eastAsia="Times New Roman" w:hAnsi="Times New Roman" w:cs="Times New Roman"/>
          <w:b/>
          <w:sz w:val="32"/>
          <w:szCs w:val="32"/>
        </w:rPr>
        <w:t>e</w:t>
      </w:r>
      <w:r w:rsidRPr="003B26CE">
        <w:rPr>
          <w:rFonts w:ascii="Times New Roman" w:eastAsia="Times New Roman" w:hAnsi="Times New Roman" w:cs="Times New Roman"/>
          <w:b/>
          <w:spacing w:val="-2"/>
          <w:sz w:val="32"/>
          <w:szCs w:val="32"/>
        </w:rPr>
        <w:t xml:space="preserve"> </w:t>
      </w:r>
      <w:r w:rsidRPr="003B26CE">
        <w:rPr>
          <w:rFonts w:ascii="Times New Roman" w:eastAsia="Times New Roman" w:hAnsi="Times New Roman" w:cs="Times New Roman"/>
          <w:b/>
          <w:spacing w:val="1"/>
          <w:sz w:val="32"/>
          <w:szCs w:val="32"/>
        </w:rPr>
        <w:t>I</w:t>
      </w:r>
      <w:r w:rsidRPr="003B26CE">
        <w:rPr>
          <w:rFonts w:ascii="Times New Roman" w:eastAsia="Times New Roman" w:hAnsi="Times New Roman" w:cs="Times New Roman"/>
          <w:b/>
          <w:sz w:val="32"/>
          <w:szCs w:val="32"/>
        </w:rPr>
        <w:t>n</w:t>
      </w:r>
      <w:r w:rsidRPr="003B26CE">
        <w:rPr>
          <w:rFonts w:ascii="Times New Roman" w:eastAsia="Times New Roman" w:hAnsi="Times New Roman" w:cs="Times New Roman"/>
          <w:b/>
          <w:spacing w:val="1"/>
          <w:sz w:val="32"/>
          <w:szCs w:val="32"/>
        </w:rPr>
        <w:t>s</w:t>
      </w:r>
      <w:r w:rsidRPr="003B26CE">
        <w:rPr>
          <w:rFonts w:ascii="Times New Roman" w:eastAsia="Times New Roman" w:hAnsi="Times New Roman" w:cs="Times New Roman"/>
          <w:b/>
          <w:spacing w:val="-2"/>
          <w:sz w:val="32"/>
          <w:szCs w:val="32"/>
        </w:rPr>
        <w:t>u</w:t>
      </w:r>
      <w:r w:rsidRPr="003B26CE">
        <w:rPr>
          <w:rFonts w:ascii="Times New Roman" w:eastAsia="Times New Roman" w:hAnsi="Times New Roman" w:cs="Times New Roman"/>
          <w:b/>
          <w:sz w:val="32"/>
          <w:szCs w:val="32"/>
        </w:rPr>
        <w:t>r</w:t>
      </w:r>
      <w:r w:rsidRPr="003B26CE">
        <w:rPr>
          <w:rFonts w:ascii="Times New Roman" w:eastAsia="Times New Roman" w:hAnsi="Times New Roman" w:cs="Times New Roman"/>
          <w:b/>
          <w:spacing w:val="-1"/>
          <w:sz w:val="32"/>
          <w:szCs w:val="32"/>
        </w:rPr>
        <w:t>a</w:t>
      </w:r>
      <w:r w:rsidRPr="003B26CE">
        <w:rPr>
          <w:rFonts w:ascii="Times New Roman" w:eastAsia="Times New Roman" w:hAnsi="Times New Roman" w:cs="Times New Roman"/>
          <w:b/>
          <w:sz w:val="32"/>
          <w:szCs w:val="32"/>
        </w:rPr>
        <w:t>nce E</w:t>
      </w:r>
      <w:r w:rsidRPr="003B26CE">
        <w:rPr>
          <w:rFonts w:ascii="Times New Roman" w:eastAsia="Times New Roman" w:hAnsi="Times New Roman" w:cs="Times New Roman"/>
          <w:b/>
          <w:spacing w:val="-1"/>
          <w:sz w:val="32"/>
          <w:szCs w:val="32"/>
        </w:rPr>
        <w:t>x</w:t>
      </w:r>
      <w:r w:rsidRPr="003B26CE">
        <w:rPr>
          <w:rFonts w:ascii="Times New Roman" w:eastAsia="Times New Roman" w:hAnsi="Times New Roman" w:cs="Times New Roman"/>
          <w:b/>
          <w:spacing w:val="1"/>
          <w:sz w:val="32"/>
          <w:szCs w:val="32"/>
        </w:rPr>
        <w:t>i</w:t>
      </w:r>
      <w:r w:rsidRPr="003B26CE">
        <w:rPr>
          <w:rFonts w:ascii="Times New Roman" w:eastAsia="Times New Roman" w:hAnsi="Times New Roman" w:cs="Times New Roman"/>
          <w:b/>
          <w:spacing w:val="-1"/>
          <w:sz w:val="32"/>
          <w:szCs w:val="32"/>
        </w:rPr>
        <w:t>s</w:t>
      </w:r>
      <w:r w:rsidRPr="003B26CE">
        <w:rPr>
          <w:rFonts w:ascii="Times New Roman" w:eastAsia="Times New Roman" w:hAnsi="Times New Roman" w:cs="Times New Roman"/>
          <w:b/>
          <w:sz w:val="32"/>
          <w:szCs w:val="32"/>
        </w:rPr>
        <w:t xml:space="preserve">t </w:t>
      </w:r>
      <w:r w:rsidRPr="003B26CE">
        <w:rPr>
          <w:rFonts w:ascii="Times New Roman" w:eastAsia="Times New Roman" w:hAnsi="Times New Roman" w:cs="Times New Roman"/>
          <w:b/>
          <w:spacing w:val="-1"/>
          <w:sz w:val="32"/>
          <w:szCs w:val="32"/>
        </w:rPr>
        <w:t>A</w:t>
      </w:r>
      <w:r w:rsidRPr="003B26CE">
        <w:rPr>
          <w:rFonts w:ascii="Times New Roman" w:eastAsia="Times New Roman" w:hAnsi="Times New Roman" w:cs="Times New Roman"/>
          <w:b/>
          <w:sz w:val="32"/>
          <w:szCs w:val="32"/>
        </w:rPr>
        <w:t>fter the</w:t>
      </w:r>
      <w:r w:rsidRPr="003B26CE">
        <w:rPr>
          <w:rFonts w:ascii="Times New Roman" w:eastAsia="Times New Roman" w:hAnsi="Times New Roman" w:cs="Times New Roman"/>
          <w:b/>
          <w:spacing w:val="-1"/>
          <w:sz w:val="32"/>
          <w:szCs w:val="32"/>
        </w:rPr>
        <w:t xml:space="preserve"> </w:t>
      </w:r>
      <w:r w:rsidRPr="003B26CE">
        <w:rPr>
          <w:rFonts w:ascii="Times New Roman" w:eastAsia="Times New Roman" w:hAnsi="Times New Roman" w:cs="Times New Roman"/>
          <w:b/>
          <w:i/>
          <w:sz w:val="32"/>
          <w:szCs w:val="32"/>
        </w:rPr>
        <w:t>Re</w:t>
      </w:r>
      <w:r w:rsidRPr="003B26CE">
        <w:rPr>
          <w:rFonts w:ascii="Times New Roman" w:eastAsia="Times New Roman" w:hAnsi="Times New Roman" w:cs="Times New Roman"/>
          <w:b/>
          <w:i/>
          <w:spacing w:val="1"/>
          <w:sz w:val="32"/>
          <w:szCs w:val="32"/>
        </w:rPr>
        <w:t>s</w:t>
      </w:r>
      <w:r w:rsidRPr="003B26CE">
        <w:rPr>
          <w:rFonts w:ascii="Times New Roman" w:eastAsia="Times New Roman" w:hAnsi="Times New Roman" w:cs="Times New Roman"/>
          <w:b/>
          <w:i/>
          <w:spacing w:val="-2"/>
          <w:sz w:val="32"/>
          <w:szCs w:val="32"/>
        </w:rPr>
        <w:t>e</w:t>
      </w:r>
      <w:r w:rsidRPr="003B26CE">
        <w:rPr>
          <w:rFonts w:ascii="Times New Roman" w:eastAsia="Times New Roman" w:hAnsi="Times New Roman" w:cs="Times New Roman"/>
          <w:b/>
          <w:i/>
          <w:spacing w:val="1"/>
          <w:sz w:val="32"/>
          <w:szCs w:val="32"/>
        </w:rPr>
        <w:t>r</w:t>
      </w:r>
      <w:r w:rsidRPr="003B26CE">
        <w:rPr>
          <w:rFonts w:ascii="Times New Roman" w:eastAsia="Times New Roman" w:hAnsi="Times New Roman" w:cs="Times New Roman"/>
          <w:b/>
          <w:i/>
          <w:sz w:val="32"/>
          <w:szCs w:val="32"/>
        </w:rPr>
        <w:t>ve</w:t>
      </w:r>
      <w:r w:rsidRPr="003B26CE">
        <w:rPr>
          <w:rFonts w:ascii="Times New Roman" w:eastAsia="Times New Roman" w:hAnsi="Times New Roman" w:cs="Times New Roman"/>
          <w:b/>
          <w:i/>
          <w:spacing w:val="1"/>
          <w:sz w:val="32"/>
          <w:szCs w:val="32"/>
        </w:rPr>
        <w:t xml:space="preserve"> </w:t>
      </w:r>
      <w:r w:rsidRPr="003B26CE">
        <w:rPr>
          <w:rFonts w:ascii="Times New Roman" w:eastAsia="Times New Roman" w:hAnsi="Times New Roman" w:cs="Times New Roman"/>
          <w:b/>
          <w:spacing w:val="-1"/>
          <w:sz w:val="32"/>
          <w:szCs w:val="32"/>
        </w:rPr>
        <w:t>D</w:t>
      </w:r>
      <w:r w:rsidRPr="003B26CE">
        <w:rPr>
          <w:rFonts w:ascii="Times New Roman" w:eastAsia="Times New Roman" w:hAnsi="Times New Roman" w:cs="Times New Roman"/>
          <w:b/>
          <w:sz w:val="32"/>
          <w:szCs w:val="32"/>
        </w:rPr>
        <w:t>e</w:t>
      </w:r>
      <w:r w:rsidRPr="003B26CE">
        <w:rPr>
          <w:rFonts w:ascii="Times New Roman" w:eastAsia="Times New Roman" w:hAnsi="Times New Roman" w:cs="Times New Roman"/>
          <w:b/>
          <w:spacing w:val="-2"/>
          <w:sz w:val="32"/>
          <w:szCs w:val="32"/>
        </w:rPr>
        <w:t>c</w:t>
      </w:r>
      <w:r w:rsidRPr="003B26CE">
        <w:rPr>
          <w:rFonts w:ascii="Times New Roman" w:eastAsia="Times New Roman" w:hAnsi="Times New Roman" w:cs="Times New Roman"/>
          <w:b/>
          <w:spacing w:val="1"/>
          <w:sz w:val="32"/>
          <w:szCs w:val="32"/>
        </w:rPr>
        <w:t>i</w:t>
      </w:r>
      <w:r w:rsidRPr="003B26CE">
        <w:rPr>
          <w:rFonts w:ascii="Times New Roman" w:eastAsia="Times New Roman" w:hAnsi="Times New Roman" w:cs="Times New Roman"/>
          <w:b/>
          <w:spacing w:val="-1"/>
          <w:sz w:val="32"/>
          <w:szCs w:val="32"/>
        </w:rPr>
        <w:t>si</w:t>
      </w:r>
      <w:r w:rsidRPr="003B26CE">
        <w:rPr>
          <w:rFonts w:ascii="Times New Roman" w:eastAsia="Times New Roman" w:hAnsi="Times New Roman" w:cs="Times New Roman"/>
          <w:b/>
          <w:spacing w:val="1"/>
          <w:sz w:val="32"/>
          <w:szCs w:val="32"/>
        </w:rPr>
        <w:t>o</w:t>
      </w:r>
      <w:r w:rsidRPr="003B26CE">
        <w:rPr>
          <w:rFonts w:ascii="Times New Roman" w:eastAsia="Times New Roman" w:hAnsi="Times New Roman" w:cs="Times New Roman"/>
          <w:b/>
          <w:sz w:val="32"/>
          <w:szCs w:val="32"/>
        </w:rPr>
        <w:t>n?</w:t>
      </w:r>
    </w:p>
    <w:p w14:paraId="089D93A1" w14:textId="77777777" w:rsidR="003077DF" w:rsidRDefault="003077DF" w:rsidP="003077DF">
      <w:pPr>
        <w:spacing w:after="0" w:line="240" w:lineRule="auto"/>
        <w:rPr>
          <w:rFonts w:ascii="Times New Roman" w:hAnsi="Times New Roman" w:cs="Times New Roman"/>
          <w:b/>
          <w:sz w:val="32"/>
          <w:szCs w:val="32"/>
        </w:rPr>
      </w:pPr>
    </w:p>
    <w:p w14:paraId="203548E7" w14:textId="65700851" w:rsidR="00364083" w:rsidRPr="00E8039F" w:rsidRDefault="000929A8" w:rsidP="003077DF">
      <w:pPr>
        <w:spacing w:after="0" w:line="240" w:lineRule="auto"/>
        <w:rPr>
          <w:rFonts w:ascii="Times New Roman" w:hAnsi="Times New Roman" w:cs="Times New Roman"/>
          <w:b/>
          <w:sz w:val="28"/>
          <w:szCs w:val="28"/>
        </w:rPr>
      </w:pPr>
      <w:bookmarkStart w:id="2" w:name="_Hlk532825456"/>
      <w:r w:rsidRPr="00E8039F">
        <w:rPr>
          <w:rFonts w:ascii="Times New Roman" w:hAnsi="Times New Roman" w:cs="Times New Roman"/>
          <w:b/>
          <w:sz w:val="28"/>
          <w:szCs w:val="28"/>
        </w:rPr>
        <w:t xml:space="preserve">How </w:t>
      </w:r>
      <w:r w:rsidR="005A3073">
        <w:rPr>
          <w:rFonts w:ascii="Times New Roman" w:hAnsi="Times New Roman" w:cs="Times New Roman"/>
          <w:b/>
          <w:sz w:val="28"/>
          <w:szCs w:val="28"/>
        </w:rPr>
        <w:t xml:space="preserve">the </w:t>
      </w:r>
      <w:r w:rsidR="00364083" w:rsidRPr="00E8039F">
        <w:rPr>
          <w:rFonts w:ascii="Times New Roman" w:hAnsi="Times New Roman" w:cs="Times New Roman"/>
          <w:b/>
          <w:sz w:val="28"/>
          <w:szCs w:val="28"/>
        </w:rPr>
        <w:t xml:space="preserve">Tax Court </w:t>
      </w:r>
      <w:r w:rsidR="00311D76" w:rsidRPr="00E8039F">
        <w:rPr>
          <w:rFonts w:ascii="Times New Roman" w:hAnsi="Times New Roman" w:cs="Times New Roman"/>
          <w:b/>
          <w:sz w:val="28"/>
          <w:szCs w:val="28"/>
        </w:rPr>
        <w:t>Re</w:t>
      </w:r>
      <w:r w:rsidR="00BE444E" w:rsidRPr="00E8039F">
        <w:rPr>
          <w:rFonts w:ascii="Times New Roman" w:hAnsi="Times New Roman" w:cs="Times New Roman"/>
          <w:b/>
          <w:sz w:val="28"/>
          <w:szCs w:val="28"/>
        </w:rPr>
        <w:t>w</w:t>
      </w:r>
      <w:r w:rsidR="00CE3D46" w:rsidRPr="00E8039F">
        <w:rPr>
          <w:rFonts w:ascii="Times New Roman" w:hAnsi="Times New Roman" w:cs="Times New Roman"/>
          <w:b/>
          <w:sz w:val="28"/>
          <w:szCs w:val="28"/>
        </w:rPr>
        <w:t xml:space="preserve">rote </w:t>
      </w:r>
      <w:r w:rsidR="00311D76" w:rsidRPr="00E8039F">
        <w:rPr>
          <w:rFonts w:ascii="Times New Roman" w:hAnsi="Times New Roman" w:cs="Times New Roman"/>
          <w:b/>
          <w:sz w:val="28"/>
          <w:szCs w:val="28"/>
        </w:rPr>
        <w:t>the Standard</w:t>
      </w:r>
      <w:r w:rsidR="00674768" w:rsidRPr="00E8039F">
        <w:rPr>
          <w:rFonts w:ascii="Times New Roman" w:hAnsi="Times New Roman" w:cs="Times New Roman"/>
          <w:b/>
          <w:sz w:val="28"/>
          <w:szCs w:val="28"/>
        </w:rPr>
        <w:t>s</w:t>
      </w:r>
      <w:r w:rsidR="00311D76" w:rsidRPr="00E8039F">
        <w:rPr>
          <w:rFonts w:ascii="Times New Roman" w:hAnsi="Times New Roman" w:cs="Times New Roman"/>
          <w:b/>
          <w:sz w:val="28"/>
          <w:szCs w:val="28"/>
        </w:rPr>
        <w:t xml:space="preserve"> for Insurance Policy Selection</w:t>
      </w:r>
      <w:bookmarkEnd w:id="2"/>
      <w:r w:rsidRPr="00E8039F">
        <w:rPr>
          <w:rFonts w:ascii="Times New Roman" w:hAnsi="Times New Roman" w:cs="Times New Roman"/>
          <w:b/>
          <w:sz w:val="28"/>
          <w:szCs w:val="28"/>
        </w:rPr>
        <w:t xml:space="preserve"> </w:t>
      </w:r>
    </w:p>
    <w:p w14:paraId="373A8F59" w14:textId="77777777" w:rsidR="003B26CE" w:rsidRDefault="003B26CE" w:rsidP="003077DF">
      <w:pPr>
        <w:spacing w:after="0" w:line="240" w:lineRule="auto"/>
        <w:rPr>
          <w:rFonts w:ascii="Times New Roman" w:hAnsi="Times New Roman" w:cs="Times New Roman"/>
          <w:b/>
          <w:sz w:val="24"/>
          <w:szCs w:val="24"/>
        </w:rPr>
      </w:pPr>
    </w:p>
    <w:p w14:paraId="5C9A2378" w14:textId="07E282CC" w:rsidR="003B26CE" w:rsidRPr="00383A50" w:rsidRDefault="003B26CE" w:rsidP="003077DF">
      <w:pPr>
        <w:spacing w:after="0" w:line="240" w:lineRule="auto"/>
        <w:rPr>
          <w:rFonts w:ascii="Times New Roman" w:hAnsi="Times New Roman" w:cs="Times New Roman"/>
          <w:b/>
          <w:sz w:val="28"/>
          <w:szCs w:val="28"/>
        </w:rPr>
      </w:pPr>
      <w:r w:rsidRPr="00383A50">
        <w:rPr>
          <w:rFonts w:ascii="Times New Roman" w:hAnsi="Times New Roman" w:cs="Times New Roman"/>
          <w:b/>
          <w:sz w:val="28"/>
          <w:szCs w:val="28"/>
        </w:rPr>
        <w:t>Commentary on</w:t>
      </w:r>
      <w:r w:rsidR="00BA1068">
        <w:rPr>
          <w:rFonts w:ascii="Times New Roman" w:hAnsi="Times New Roman" w:cs="Times New Roman"/>
          <w:b/>
          <w:sz w:val="28"/>
          <w:szCs w:val="28"/>
        </w:rPr>
        <w:t xml:space="preserve"> Insurance </w:t>
      </w:r>
      <w:r w:rsidRPr="00383A50">
        <w:rPr>
          <w:rFonts w:ascii="Times New Roman" w:hAnsi="Times New Roman" w:cs="Times New Roman"/>
          <w:b/>
          <w:sz w:val="28"/>
          <w:szCs w:val="28"/>
        </w:rPr>
        <w:t>Policy Selection</w:t>
      </w:r>
      <w:r w:rsidR="004B0233">
        <w:rPr>
          <w:rFonts w:ascii="Times New Roman" w:hAnsi="Times New Roman" w:cs="Times New Roman"/>
          <w:b/>
          <w:sz w:val="28"/>
          <w:szCs w:val="28"/>
        </w:rPr>
        <w:t xml:space="preserve"> and Related </w:t>
      </w:r>
      <w:r w:rsidR="00FE436F">
        <w:rPr>
          <w:rFonts w:ascii="Times New Roman" w:hAnsi="Times New Roman" w:cs="Times New Roman"/>
          <w:b/>
          <w:sz w:val="28"/>
          <w:szCs w:val="28"/>
        </w:rPr>
        <w:t>Issue</w:t>
      </w:r>
      <w:r w:rsidR="004B0233">
        <w:rPr>
          <w:rFonts w:ascii="Times New Roman" w:hAnsi="Times New Roman" w:cs="Times New Roman"/>
          <w:b/>
          <w:sz w:val="28"/>
          <w:szCs w:val="28"/>
        </w:rPr>
        <w:t>s</w:t>
      </w:r>
    </w:p>
    <w:p w14:paraId="204FA024" w14:textId="77777777" w:rsidR="00364083" w:rsidRDefault="00364083" w:rsidP="00364083">
      <w:pPr>
        <w:autoSpaceDE w:val="0"/>
        <w:autoSpaceDN w:val="0"/>
        <w:adjustRightInd w:val="0"/>
        <w:spacing w:after="0" w:line="240" w:lineRule="auto"/>
        <w:rPr>
          <w:rFonts w:ascii="Times New Roman" w:hAnsi="Times New Roman" w:cs="Times New Roman"/>
        </w:rPr>
      </w:pPr>
    </w:p>
    <w:p w14:paraId="29BF4DFC" w14:textId="401AD725" w:rsidR="00364083" w:rsidRPr="0036725A" w:rsidRDefault="00364083" w:rsidP="00364083">
      <w:pPr>
        <w:spacing w:after="0" w:line="240" w:lineRule="auto"/>
        <w:rPr>
          <w:rFonts w:ascii="Times New Roman" w:hAnsi="Times New Roman" w:cs="Times New Roman"/>
          <w:sz w:val="24"/>
          <w:szCs w:val="24"/>
        </w:rPr>
      </w:pPr>
      <w:r w:rsidRPr="0036725A">
        <w:rPr>
          <w:rFonts w:ascii="Times New Roman" w:eastAsia="Times New Roman" w:hAnsi="Times New Roman" w:cs="Times New Roman"/>
          <w:i/>
          <w:sz w:val="24"/>
          <w:szCs w:val="24"/>
        </w:rPr>
        <w:t>R</w:t>
      </w:r>
      <w:r w:rsidRPr="0036725A">
        <w:rPr>
          <w:rFonts w:ascii="Times New Roman" w:eastAsia="Times New Roman" w:hAnsi="Times New Roman" w:cs="Times New Roman"/>
          <w:i/>
          <w:spacing w:val="-1"/>
          <w:sz w:val="24"/>
          <w:szCs w:val="24"/>
        </w:rPr>
        <w:t>e</w:t>
      </w:r>
      <w:r w:rsidRPr="0036725A">
        <w:rPr>
          <w:rFonts w:ascii="Times New Roman" w:eastAsia="Times New Roman" w:hAnsi="Times New Roman" w:cs="Times New Roman"/>
          <w:i/>
          <w:sz w:val="24"/>
          <w:szCs w:val="24"/>
        </w:rPr>
        <w:t>s</w:t>
      </w:r>
      <w:r w:rsidRPr="0036725A">
        <w:rPr>
          <w:rFonts w:ascii="Times New Roman" w:eastAsia="Times New Roman" w:hAnsi="Times New Roman" w:cs="Times New Roman"/>
          <w:i/>
          <w:spacing w:val="-1"/>
          <w:sz w:val="24"/>
          <w:szCs w:val="24"/>
        </w:rPr>
        <w:t>e</w:t>
      </w:r>
      <w:r w:rsidRPr="0036725A">
        <w:rPr>
          <w:rFonts w:ascii="Times New Roman" w:eastAsia="Times New Roman" w:hAnsi="Times New Roman" w:cs="Times New Roman"/>
          <w:i/>
          <w:sz w:val="24"/>
          <w:szCs w:val="24"/>
        </w:rPr>
        <w:t>r</w:t>
      </w:r>
      <w:r w:rsidRPr="0036725A">
        <w:rPr>
          <w:rFonts w:ascii="Times New Roman" w:eastAsia="Times New Roman" w:hAnsi="Times New Roman" w:cs="Times New Roman"/>
          <w:i/>
          <w:spacing w:val="-1"/>
          <w:sz w:val="24"/>
          <w:szCs w:val="24"/>
        </w:rPr>
        <w:t>v</w:t>
      </w:r>
      <w:r w:rsidRPr="0036725A">
        <w:rPr>
          <w:rFonts w:ascii="Times New Roman" w:eastAsia="Times New Roman" w:hAnsi="Times New Roman" w:cs="Times New Roman"/>
          <w:i/>
          <w:sz w:val="24"/>
          <w:szCs w:val="24"/>
        </w:rPr>
        <w:t>e</w:t>
      </w:r>
      <w:r w:rsidRPr="0036725A">
        <w:rPr>
          <w:rFonts w:ascii="Times New Roman" w:eastAsia="Times New Roman" w:hAnsi="Times New Roman" w:cs="Times New Roman"/>
          <w:i/>
          <w:spacing w:val="7"/>
          <w:sz w:val="24"/>
          <w:szCs w:val="24"/>
        </w:rPr>
        <w:t xml:space="preserve"> </w:t>
      </w:r>
      <w:r w:rsidRPr="0036725A">
        <w:rPr>
          <w:rFonts w:ascii="Times New Roman" w:eastAsia="Times New Roman" w:hAnsi="Times New Roman" w:cs="Times New Roman"/>
          <w:i/>
          <w:sz w:val="24"/>
          <w:szCs w:val="24"/>
        </w:rPr>
        <w:t>M</w:t>
      </w:r>
      <w:r w:rsidRPr="0036725A">
        <w:rPr>
          <w:rFonts w:ascii="Times New Roman" w:eastAsia="Times New Roman" w:hAnsi="Times New Roman" w:cs="Times New Roman"/>
          <w:i/>
          <w:spacing w:val="1"/>
          <w:sz w:val="24"/>
          <w:szCs w:val="24"/>
        </w:rPr>
        <w:t>e</w:t>
      </w:r>
      <w:r w:rsidRPr="0036725A">
        <w:rPr>
          <w:rFonts w:ascii="Times New Roman" w:eastAsia="Times New Roman" w:hAnsi="Times New Roman" w:cs="Times New Roman"/>
          <w:i/>
          <w:spacing w:val="-1"/>
          <w:sz w:val="24"/>
          <w:szCs w:val="24"/>
        </w:rPr>
        <w:t>c</w:t>
      </w:r>
      <w:r w:rsidRPr="0036725A">
        <w:rPr>
          <w:rFonts w:ascii="Times New Roman" w:eastAsia="Times New Roman" w:hAnsi="Times New Roman" w:cs="Times New Roman"/>
          <w:i/>
          <w:sz w:val="24"/>
          <w:szCs w:val="24"/>
        </w:rPr>
        <w:t>hani</w:t>
      </w:r>
      <w:r w:rsidRPr="0036725A">
        <w:rPr>
          <w:rFonts w:ascii="Times New Roman" w:eastAsia="Times New Roman" w:hAnsi="Times New Roman" w:cs="Times New Roman"/>
          <w:i/>
          <w:spacing w:val="-1"/>
          <w:sz w:val="24"/>
          <w:szCs w:val="24"/>
        </w:rPr>
        <w:t>c</w:t>
      </w:r>
      <w:r w:rsidRPr="0036725A">
        <w:rPr>
          <w:rFonts w:ascii="Times New Roman" w:eastAsia="Times New Roman" w:hAnsi="Times New Roman" w:cs="Times New Roman"/>
          <w:i/>
          <w:sz w:val="24"/>
          <w:szCs w:val="24"/>
        </w:rPr>
        <w:t xml:space="preserve">al </w:t>
      </w:r>
      <w:r w:rsidRPr="0036725A">
        <w:rPr>
          <w:rFonts w:ascii="Times New Roman" w:eastAsia="Times New Roman" w:hAnsi="Times New Roman" w:cs="Times New Roman"/>
          <w:i/>
          <w:spacing w:val="1"/>
          <w:sz w:val="24"/>
          <w:szCs w:val="24"/>
        </w:rPr>
        <w:t>C</w:t>
      </w:r>
      <w:r w:rsidRPr="0036725A">
        <w:rPr>
          <w:rFonts w:ascii="Times New Roman" w:eastAsia="Times New Roman" w:hAnsi="Times New Roman" w:cs="Times New Roman"/>
          <w:i/>
          <w:sz w:val="24"/>
          <w:szCs w:val="24"/>
        </w:rPr>
        <w:t>orp.</w:t>
      </w:r>
      <w:r w:rsidRPr="0036725A">
        <w:rPr>
          <w:rFonts w:ascii="Times New Roman" w:eastAsia="Times New Roman" w:hAnsi="Times New Roman" w:cs="Times New Roman"/>
          <w:i/>
          <w:spacing w:val="2"/>
          <w:sz w:val="24"/>
          <w:szCs w:val="24"/>
        </w:rPr>
        <w:t xml:space="preserve"> </w:t>
      </w:r>
      <w:r w:rsidRPr="0036725A">
        <w:rPr>
          <w:rFonts w:ascii="Times New Roman" w:eastAsia="Times New Roman" w:hAnsi="Times New Roman" w:cs="Times New Roman"/>
          <w:i/>
          <w:sz w:val="24"/>
          <w:szCs w:val="24"/>
        </w:rPr>
        <w:t>f.</w:t>
      </w:r>
      <w:r w:rsidRPr="0036725A">
        <w:rPr>
          <w:rFonts w:ascii="Times New Roman" w:eastAsia="Times New Roman" w:hAnsi="Times New Roman" w:cs="Times New Roman"/>
          <w:i/>
          <w:spacing w:val="-1"/>
          <w:sz w:val="24"/>
          <w:szCs w:val="24"/>
        </w:rPr>
        <w:t>k</w:t>
      </w:r>
      <w:r w:rsidRPr="0036725A">
        <w:rPr>
          <w:rFonts w:ascii="Times New Roman" w:eastAsia="Times New Roman" w:hAnsi="Times New Roman" w:cs="Times New Roman"/>
          <w:i/>
          <w:sz w:val="24"/>
          <w:szCs w:val="24"/>
        </w:rPr>
        <w:t>.a.</w:t>
      </w:r>
      <w:r w:rsidRPr="0036725A">
        <w:rPr>
          <w:rFonts w:ascii="Times New Roman" w:eastAsia="Times New Roman" w:hAnsi="Times New Roman" w:cs="Times New Roman"/>
          <w:i/>
          <w:spacing w:val="3"/>
          <w:sz w:val="24"/>
          <w:szCs w:val="24"/>
        </w:rPr>
        <w:t xml:space="preserve"> </w:t>
      </w:r>
      <w:r w:rsidRPr="0036725A">
        <w:rPr>
          <w:rFonts w:ascii="Times New Roman" w:eastAsia="Times New Roman" w:hAnsi="Times New Roman" w:cs="Times New Roman"/>
          <w:i/>
          <w:sz w:val="24"/>
          <w:szCs w:val="24"/>
        </w:rPr>
        <w:t>R</w:t>
      </w:r>
      <w:r w:rsidRPr="0036725A">
        <w:rPr>
          <w:rFonts w:ascii="Times New Roman" w:eastAsia="Times New Roman" w:hAnsi="Times New Roman" w:cs="Times New Roman"/>
          <w:i/>
          <w:spacing w:val="-1"/>
          <w:sz w:val="24"/>
          <w:szCs w:val="24"/>
        </w:rPr>
        <w:t>e</w:t>
      </w:r>
      <w:r w:rsidRPr="0036725A">
        <w:rPr>
          <w:rFonts w:ascii="Times New Roman" w:eastAsia="Times New Roman" w:hAnsi="Times New Roman" w:cs="Times New Roman"/>
          <w:i/>
          <w:sz w:val="24"/>
          <w:szCs w:val="24"/>
        </w:rPr>
        <w:t>s</w:t>
      </w:r>
      <w:r w:rsidRPr="0036725A">
        <w:rPr>
          <w:rFonts w:ascii="Times New Roman" w:eastAsia="Times New Roman" w:hAnsi="Times New Roman" w:cs="Times New Roman"/>
          <w:i/>
          <w:spacing w:val="-1"/>
          <w:sz w:val="24"/>
          <w:szCs w:val="24"/>
        </w:rPr>
        <w:t>e</w:t>
      </w:r>
      <w:r w:rsidRPr="0036725A">
        <w:rPr>
          <w:rFonts w:ascii="Times New Roman" w:eastAsia="Times New Roman" w:hAnsi="Times New Roman" w:cs="Times New Roman"/>
          <w:i/>
          <w:sz w:val="24"/>
          <w:szCs w:val="24"/>
        </w:rPr>
        <w:t>r</w:t>
      </w:r>
      <w:r w:rsidRPr="0036725A">
        <w:rPr>
          <w:rFonts w:ascii="Times New Roman" w:eastAsia="Times New Roman" w:hAnsi="Times New Roman" w:cs="Times New Roman"/>
          <w:i/>
          <w:spacing w:val="1"/>
          <w:sz w:val="24"/>
          <w:szCs w:val="24"/>
        </w:rPr>
        <w:t>v</w:t>
      </w:r>
      <w:r w:rsidRPr="0036725A">
        <w:rPr>
          <w:rFonts w:ascii="Times New Roman" w:eastAsia="Times New Roman" w:hAnsi="Times New Roman" w:cs="Times New Roman"/>
          <w:i/>
          <w:sz w:val="24"/>
          <w:szCs w:val="24"/>
        </w:rPr>
        <w:t>e</w:t>
      </w:r>
      <w:r w:rsidRPr="0036725A">
        <w:rPr>
          <w:rFonts w:ascii="Times New Roman" w:eastAsia="Times New Roman" w:hAnsi="Times New Roman" w:cs="Times New Roman"/>
          <w:i/>
          <w:spacing w:val="5"/>
          <w:sz w:val="24"/>
          <w:szCs w:val="24"/>
        </w:rPr>
        <w:t xml:space="preserve"> </w:t>
      </w:r>
      <w:r w:rsidRPr="0036725A">
        <w:rPr>
          <w:rFonts w:ascii="Times New Roman" w:eastAsia="Times New Roman" w:hAnsi="Times New Roman" w:cs="Times New Roman"/>
          <w:i/>
          <w:spacing w:val="1"/>
          <w:sz w:val="24"/>
          <w:szCs w:val="24"/>
        </w:rPr>
        <w:t>C</w:t>
      </w:r>
      <w:r w:rsidRPr="0036725A">
        <w:rPr>
          <w:rFonts w:ascii="Times New Roman" w:eastAsia="Times New Roman" w:hAnsi="Times New Roman" w:cs="Times New Roman"/>
          <w:i/>
          <w:sz w:val="24"/>
          <w:szCs w:val="24"/>
        </w:rPr>
        <w:t xml:space="preserve">asualty </w:t>
      </w:r>
      <w:r w:rsidRPr="0036725A">
        <w:rPr>
          <w:rFonts w:ascii="Times New Roman" w:eastAsia="Times New Roman" w:hAnsi="Times New Roman" w:cs="Times New Roman"/>
          <w:i/>
          <w:spacing w:val="1"/>
          <w:sz w:val="24"/>
          <w:szCs w:val="24"/>
        </w:rPr>
        <w:t>C</w:t>
      </w:r>
      <w:r w:rsidRPr="0036725A">
        <w:rPr>
          <w:rFonts w:ascii="Times New Roman" w:eastAsia="Times New Roman" w:hAnsi="Times New Roman" w:cs="Times New Roman"/>
          <w:i/>
          <w:sz w:val="24"/>
          <w:szCs w:val="24"/>
        </w:rPr>
        <w:t>orp.</w:t>
      </w:r>
      <w:r w:rsidRPr="0036725A">
        <w:rPr>
          <w:rFonts w:ascii="Times New Roman" w:eastAsia="Times New Roman" w:hAnsi="Times New Roman" w:cs="Times New Roman"/>
          <w:i/>
          <w:spacing w:val="2"/>
          <w:sz w:val="24"/>
          <w:szCs w:val="24"/>
        </w:rPr>
        <w:t xml:space="preserve"> </w:t>
      </w:r>
      <w:r w:rsidRPr="0036725A">
        <w:rPr>
          <w:rFonts w:ascii="Times New Roman" w:eastAsia="Times New Roman" w:hAnsi="Times New Roman" w:cs="Times New Roman"/>
          <w:i/>
          <w:spacing w:val="-1"/>
          <w:sz w:val="24"/>
          <w:szCs w:val="24"/>
        </w:rPr>
        <w:t>v</w:t>
      </w:r>
      <w:r w:rsidRPr="0036725A">
        <w:rPr>
          <w:rFonts w:ascii="Times New Roman" w:eastAsia="Times New Roman" w:hAnsi="Times New Roman" w:cs="Times New Roman"/>
          <w:i/>
          <w:sz w:val="24"/>
          <w:szCs w:val="24"/>
        </w:rPr>
        <w:t>.</w:t>
      </w:r>
      <w:r w:rsidRPr="0036725A">
        <w:rPr>
          <w:rFonts w:ascii="Times New Roman" w:eastAsia="Times New Roman" w:hAnsi="Times New Roman" w:cs="Times New Roman"/>
          <w:i/>
          <w:spacing w:val="7"/>
          <w:sz w:val="24"/>
          <w:szCs w:val="24"/>
        </w:rPr>
        <w:t xml:space="preserve"> </w:t>
      </w:r>
      <w:r w:rsidRPr="0036725A">
        <w:rPr>
          <w:rFonts w:ascii="Times New Roman" w:eastAsia="Times New Roman" w:hAnsi="Times New Roman" w:cs="Times New Roman"/>
          <w:i/>
          <w:spacing w:val="1"/>
          <w:sz w:val="24"/>
          <w:szCs w:val="24"/>
        </w:rPr>
        <w:t>C</w:t>
      </w:r>
      <w:r w:rsidRPr="0036725A">
        <w:rPr>
          <w:rFonts w:ascii="Times New Roman" w:eastAsia="Times New Roman" w:hAnsi="Times New Roman" w:cs="Times New Roman"/>
          <w:i/>
          <w:sz w:val="24"/>
          <w:szCs w:val="24"/>
        </w:rPr>
        <w:t>ommission</w:t>
      </w:r>
      <w:r w:rsidRPr="0036725A">
        <w:rPr>
          <w:rFonts w:ascii="Times New Roman" w:eastAsia="Times New Roman" w:hAnsi="Times New Roman" w:cs="Times New Roman"/>
          <w:i/>
          <w:spacing w:val="-1"/>
          <w:sz w:val="24"/>
          <w:szCs w:val="24"/>
        </w:rPr>
        <w:t>e</w:t>
      </w:r>
      <w:r w:rsidRPr="0036725A">
        <w:rPr>
          <w:rFonts w:ascii="Times New Roman" w:eastAsia="Times New Roman" w:hAnsi="Times New Roman" w:cs="Times New Roman"/>
          <w:i/>
          <w:sz w:val="24"/>
          <w:szCs w:val="24"/>
        </w:rPr>
        <w:t>r</w:t>
      </w:r>
      <w:r w:rsidRPr="0036725A">
        <w:rPr>
          <w:rFonts w:ascii="Times New Roman" w:eastAsia="Times New Roman" w:hAnsi="Times New Roman" w:cs="Times New Roman"/>
          <w:i/>
          <w:spacing w:val="3"/>
          <w:sz w:val="24"/>
          <w:szCs w:val="24"/>
        </w:rPr>
        <w:t xml:space="preserve"> </w:t>
      </w:r>
      <w:r w:rsidRPr="0036725A">
        <w:rPr>
          <w:rFonts w:ascii="Times New Roman" w:eastAsia="Times New Roman" w:hAnsi="Times New Roman" w:cs="Times New Roman"/>
          <w:i/>
          <w:sz w:val="24"/>
          <w:szCs w:val="24"/>
        </w:rPr>
        <w:t>of</w:t>
      </w:r>
      <w:r w:rsidRPr="0036725A">
        <w:rPr>
          <w:rFonts w:ascii="Times New Roman" w:eastAsia="Times New Roman" w:hAnsi="Times New Roman" w:cs="Times New Roman"/>
          <w:i/>
          <w:spacing w:val="6"/>
          <w:sz w:val="24"/>
          <w:szCs w:val="24"/>
        </w:rPr>
        <w:t xml:space="preserve"> </w:t>
      </w:r>
      <w:r w:rsidRPr="0036725A">
        <w:rPr>
          <w:rFonts w:ascii="Times New Roman" w:eastAsia="Times New Roman" w:hAnsi="Times New Roman" w:cs="Times New Roman"/>
          <w:i/>
          <w:sz w:val="24"/>
          <w:szCs w:val="24"/>
        </w:rPr>
        <w:t>Int</w:t>
      </w:r>
      <w:r w:rsidRPr="0036725A">
        <w:rPr>
          <w:rFonts w:ascii="Times New Roman" w:eastAsia="Times New Roman" w:hAnsi="Times New Roman" w:cs="Times New Roman"/>
          <w:i/>
          <w:spacing w:val="-1"/>
          <w:sz w:val="24"/>
          <w:szCs w:val="24"/>
        </w:rPr>
        <w:t>e</w:t>
      </w:r>
      <w:r w:rsidRPr="0036725A">
        <w:rPr>
          <w:rFonts w:ascii="Times New Roman" w:eastAsia="Times New Roman" w:hAnsi="Times New Roman" w:cs="Times New Roman"/>
          <w:i/>
          <w:sz w:val="24"/>
          <w:szCs w:val="24"/>
        </w:rPr>
        <w:t>rnal</w:t>
      </w:r>
      <w:r w:rsidRPr="0036725A">
        <w:rPr>
          <w:rFonts w:ascii="Times New Roman" w:eastAsia="Times New Roman" w:hAnsi="Times New Roman" w:cs="Times New Roman"/>
          <w:i/>
          <w:spacing w:val="1"/>
          <w:sz w:val="24"/>
          <w:szCs w:val="24"/>
        </w:rPr>
        <w:t xml:space="preserve"> </w:t>
      </w:r>
      <w:r w:rsidRPr="0036725A">
        <w:rPr>
          <w:rFonts w:ascii="Times New Roman" w:eastAsia="Times New Roman" w:hAnsi="Times New Roman" w:cs="Times New Roman"/>
          <w:i/>
          <w:sz w:val="24"/>
          <w:szCs w:val="24"/>
        </w:rPr>
        <w:t>R</w:t>
      </w:r>
      <w:r w:rsidRPr="0036725A">
        <w:rPr>
          <w:rFonts w:ascii="Times New Roman" w:eastAsia="Times New Roman" w:hAnsi="Times New Roman" w:cs="Times New Roman"/>
          <w:i/>
          <w:spacing w:val="-1"/>
          <w:sz w:val="24"/>
          <w:szCs w:val="24"/>
        </w:rPr>
        <w:t>eve</w:t>
      </w:r>
      <w:r w:rsidRPr="0036725A">
        <w:rPr>
          <w:rFonts w:ascii="Times New Roman" w:eastAsia="Times New Roman" w:hAnsi="Times New Roman" w:cs="Times New Roman"/>
          <w:i/>
          <w:sz w:val="24"/>
          <w:szCs w:val="24"/>
        </w:rPr>
        <w:t xml:space="preserve">nue </w:t>
      </w:r>
      <w:r w:rsidRPr="0036725A">
        <w:rPr>
          <w:rFonts w:ascii="Times New Roman" w:eastAsia="Times New Roman" w:hAnsi="Times New Roman" w:cs="Times New Roman"/>
          <w:i/>
          <w:spacing w:val="-3"/>
          <w:sz w:val="24"/>
          <w:szCs w:val="24"/>
        </w:rPr>
        <w:t>(</w:t>
      </w:r>
      <w:r w:rsidRPr="0036725A">
        <w:rPr>
          <w:rFonts w:ascii="Times New Roman" w:eastAsia="Times New Roman" w:hAnsi="Times New Roman" w:cs="Times New Roman"/>
          <w:i/>
          <w:spacing w:val="1"/>
          <w:sz w:val="24"/>
          <w:szCs w:val="24"/>
        </w:rPr>
        <w:t>“</w:t>
      </w:r>
      <w:r w:rsidRPr="0036725A">
        <w:rPr>
          <w:rFonts w:ascii="Times New Roman" w:eastAsia="Times New Roman" w:hAnsi="Times New Roman" w:cs="Times New Roman"/>
          <w:i/>
          <w:sz w:val="24"/>
          <w:szCs w:val="24"/>
        </w:rPr>
        <w:t>R</w:t>
      </w:r>
      <w:r w:rsidRPr="0036725A">
        <w:rPr>
          <w:rFonts w:ascii="Times New Roman" w:eastAsia="Times New Roman" w:hAnsi="Times New Roman" w:cs="Times New Roman"/>
          <w:i/>
          <w:spacing w:val="-1"/>
          <w:sz w:val="24"/>
          <w:szCs w:val="24"/>
        </w:rPr>
        <w:t>e</w:t>
      </w:r>
      <w:r w:rsidRPr="0036725A">
        <w:rPr>
          <w:rFonts w:ascii="Times New Roman" w:eastAsia="Times New Roman" w:hAnsi="Times New Roman" w:cs="Times New Roman"/>
          <w:i/>
          <w:spacing w:val="3"/>
          <w:sz w:val="24"/>
          <w:szCs w:val="24"/>
        </w:rPr>
        <w:t>s</w:t>
      </w:r>
      <w:r w:rsidRPr="0036725A">
        <w:rPr>
          <w:rFonts w:ascii="Times New Roman" w:eastAsia="Times New Roman" w:hAnsi="Times New Roman" w:cs="Times New Roman"/>
          <w:i/>
          <w:spacing w:val="-1"/>
          <w:sz w:val="24"/>
          <w:szCs w:val="24"/>
        </w:rPr>
        <w:t>e</w:t>
      </w:r>
      <w:r w:rsidRPr="0036725A">
        <w:rPr>
          <w:rFonts w:ascii="Times New Roman" w:eastAsia="Times New Roman" w:hAnsi="Times New Roman" w:cs="Times New Roman"/>
          <w:i/>
          <w:sz w:val="24"/>
          <w:szCs w:val="24"/>
        </w:rPr>
        <w:t>r</w:t>
      </w:r>
      <w:r w:rsidRPr="0036725A">
        <w:rPr>
          <w:rFonts w:ascii="Times New Roman" w:eastAsia="Times New Roman" w:hAnsi="Times New Roman" w:cs="Times New Roman"/>
          <w:i/>
          <w:spacing w:val="-1"/>
          <w:sz w:val="24"/>
          <w:szCs w:val="24"/>
        </w:rPr>
        <w:t>v</w:t>
      </w:r>
      <w:r w:rsidRPr="0036725A">
        <w:rPr>
          <w:rFonts w:ascii="Times New Roman" w:eastAsia="Times New Roman" w:hAnsi="Times New Roman" w:cs="Times New Roman"/>
          <w:i/>
          <w:sz w:val="24"/>
          <w:szCs w:val="24"/>
        </w:rPr>
        <w:t>e</w:t>
      </w:r>
      <w:r w:rsidRPr="0036725A">
        <w:rPr>
          <w:rFonts w:ascii="Times New Roman" w:eastAsia="Times New Roman" w:hAnsi="Times New Roman" w:cs="Times New Roman"/>
          <w:i/>
          <w:spacing w:val="4"/>
          <w:sz w:val="24"/>
          <w:szCs w:val="24"/>
        </w:rPr>
        <w:t>”</w:t>
      </w:r>
      <w:r w:rsidRPr="0036725A">
        <w:rPr>
          <w:rFonts w:ascii="Times New Roman" w:eastAsia="Times New Roman" w:hAnsi="Times New Roman" w:cs="Times New Roman"/>
          <w:i/>
          <w:sz w:val="24"/>
          <w:szCs w:val="24"/>
        </w:rPr>
        <w:t>)</w:t>
      </w:r>
      <w:r w:rsidRPr="0036725A">
        <w:rPr>
          <w:rFonts w:ascii="Times New Roman" w:eastAsia="Times New Roman" w:hAnsi="Times New Roman" w:cs="Times New Roman"/>
          <w:i/>
          <w:spacing w:val="-4"/>
          <w:sz w:val="24"/>
          <w:szCs w:val="24"/>
        </w:rPr>
        <w:t xml:space="preserve"> </w:t>
      </w:r>
      <w:r w:rsidRPr="0036725A">
        <w:rPr>
          <w:rFonts w:ascii="Times New Roman" w:eastAsia="Times New Roman" w:hAnsi="Times New Roman" w:cs="Times New Roman"/>
          <w:spacing w:val="2"/>
          <w:sz w:val="24"/>
          <w:szCs w:val="24"/>
        </w:rPr>
        <w:t>w</w:t>
      </w:r>
      <w:r w:rsidRPr="0036725A">
        <w:rPr>
          <w:rFonts w:ascii="Times New Roman" w:eastAsia="Times New Roman" w:hAnsi="Times New Roman" w:cs="Times New Roman"/>
          <w:spacing w:val="-1"/>
          <w:sz w:val="24"/>
          <w:szCs w:val="24"/>
        </w:rPr>
        <w:t>a</w:t>
      </w:r>
      <w:r w:rsidRPr="0036725A">
        <w:rPr>
          <w:rFonts w:ascii="Times New Roman" w:eastAsia="Times New Roman" w:hAnsi="Times New Roman" w:cs="Times New Roman"/>
          <w:sz w:val="24"/>
          <w:szCs w:val="24"/>
        </w:rPr>
        <w:t>s</w:t>
      </w:r>
      <w:r w:rsidRPr="0036725A">
        <w:rPr>
          <w:rFonts w:ascii="Times New Roman" w:eastAsia="Times New Roman" w:hAnsi="Times New Roman" w:cs="Times New Roman"/>
          <w:spacing w:val="2"/>
          <w:sz w:val="24"/>
          <w:szCs w:val="24"/>
        </w:rPr>
        <w:t xml:space="preserve"> </w:t>
      </w:r>
      <w:r w:rsidRPr="0036725A">
        <w:rPr>
          <w:rFonts w:ascii="Times New Roman" w:eastAsia="Times New Roman" w:hAnsi="Times New Roman" w:cs="Times New Roman"/>
          <w:sz w:val="24"/>
          <w:szCs w:val="24"/>
        </w:rPr>
        <w:t>d</w:t>
      </w:r>
      <w:r w:rsidRPr="0036725A">
        <w:rPr>
          <w:rFonts w:ascii="Times New Roman" w:eastAsia="Times New Roman" w:hAnsi="Times New Roman" w:cs="Times New Roman"/>
          <w:spacing w:val="-1"/>
          <w:sz w:val="24"/>
          <w:szCs w:val="24"/>
        </w:rPr>
        <w:t>ec</w:t>
      </w:r>
      <w:r w:rsidRPr="0036725A">
        <w:rPr>
          <w:rFonts w:ascii="Times New Roman" w:eastAsia="Times New Roman" w:hAnsi="Times New Roman" w:cs="Times New Roman"/>
          <w:sz w:val="24"/>
          <w:szCs w:val="24"/>
        </w:rPr>
        <w:t>id</w:t>
      </w:r>
      <w:r w:rsidRPr="0036725A">
        <w:rPr>
          <w:rFonts w:ascii="Times New Roman" w:eastAsia="Times New Roman" w:hAnsi="Times New Roman" w:cs="Times New Roman"/>
          <w:spacing w:val="-1"/>
          <w:sz w:val="24"/>
          <w:szCs w:val="24"/>
        </w:rPr>
        <w:t>e</w:t>
      </w:r>
      <w:r w:rsidRPr="0036725A">
        <w:rPr>
          <w:rFonts w:ascii="Times New Roman" w:eastAsia="Times New Roman" w:hAnsi="Times New Roman" w:cs="Times New Roman"/>
          <w:sz w:val="24"/>
          <w:szCs w:val="24"/>
        </w:rPr>
        <w:t>d</w:t>
      </w:r>
      <w:r w:rsidRPr="0036725A">
        <w:rPr>
          <w:rFonts w:ascii="Times New Roman" w:eastAsia="Times New Roman" w:hAnsi="Times New Roman" w:cs="Times New Roman"/>
          <w:spacing w:val="2"/>
          <w:sz w:val="24"/>
          <w:szCs w:val="24"/>
        </w:rPr>
        <w:t xml:space="preserve"> b</w:t>
      </w:r>
      <w:r w:rsidRPr="0036725A">
        <w:rPr>
          <w:rFonts w:ascii="Times New Roman" w:eastAsia="Times New Roman" w:hAnsi="Times New Roman" w:cs="Times New Roman"/>
          <w:sz w:val="24"/>
          <w:szCs w:val="24"/>
        </w:rPr>
        <w:t>y</w:t>
      </w:r>
      <w:r w:rsidRPr="0036725A">
        <w:rPr>
          <w:rFonts w:ascii="Times New Roman" w:eastAsia="Times New Roman" w:hAnsi="Times New Roman" w:cs="Times New Roman"/>
          <w:spacing w:val="-4"/>
          <w:sz w:val="24"/>
          <w:szCs w:val="24"/>
        </w:rPr>
        <w:t xml:space="preserve"> </w:t>
      </w:r>
      <w:r w:rsidRPr="0036725A">
        <w:rPr>
          <w:rFonts w:ascii="Times New Roman" w:eastAsia="Times New Roman" w:hAnsi="Times New Roman" w:cs="Times New Roman"/>
          <w:sz w:val="24"/>
          <w:szCs w:val="24"/>
        </w:rPr>
        <w:t>t</w:t>
      </w:r>
      <w:r w:rsidRPr="0036725A">
        <w:rPr>
          <w:rFonts w:ascii="Times New Roman" w:eastAsia="Times New Roman" w:hAnsi="Times New Roman" w:cs="Times New Roman"/>
          <w:spacing w:val="2"/>
          <w:sz w:val="24"/>
          <w:szCs w:val="24"/>
        </w:rPr>
        <w:t>h</w:t>
      </w:r>
      <w:r w:rsidRPr="0036725A">
        <w:rPr>
          <w:rFonts w:ascii="Times New Roman" w:eastAsia="Times New Roman" w:hAnsi="Times New Roman" w:cs="Times New Roman"/>
          <w:sz w:val="24"/>
          <w:szCs w:val="24"/>
        </w:rPr>
        <w:t>e</w:t>
      </w:r>
      <w:r w:rsidRPr="0036725A">
        <w:rPr>
          <w:rFonts w:ascii="Times New Roman" w:eastAsia="Times New Roman" w:hAnsi="Times New Roman" w:cs="Times New Roman"/>
          <w:spacing w:val="3"/>
          <w:sz w:val="24"/>
          <w:szCs w:val="24"/>
        </w:rPr>
        <w:t xml:space="preserve"> </w:t>
      </w:r>
      <w:r w:rsidRPr="0036725A">
        <w:rPr>
          <w:rFonts w:ascii="Times New Roman" w:eastAsia="Times New Roman" w:hAnsi="Times New Roman" w:cs="Times New Roman"/>
          <w:sz w:val="24"/>
          <w:szCs w:val="24"/>
        </w:rPr>
        <w:t>Unit</w:t>
      </w:r>
      <w:r w:rsidRPr="0036725A">
        <w:rPr>
          <w:rFonts w:ascii="Times New Roman" w:eastAsia="Times New Roman" w:hAnsi="Times New Roman" w:cs="Times New Roman"/>
          <w:spacing w:val="-1"/>
          <w:sz w:val="24"/>
          <w:szCs w:val="24"/>
        </w:rPr>
        <w:t>e</w:t>
      </w:r>
      <w:r w:rsidRPr="0036725A">
        <w:rPr>
          <w:rFonts w:ascii="Times New Roman" w:eastAsia="Times New Roman" w:hAnsi="Times New Roman" w:cs="Times New Roman"/>
          <w:sz w:val="24"/>
          <w:szCs w:val="24"/>
        </w:rPr>
        <w:t xml:space="preserve">d </w:t>
      </w:r>
      <w:r w:rsidRPr="0036725A">
        <w:rPr>
          <w:rFonts w:ascii="Times New Roman" w:eastAsia="Times New Roman" w:hAnsi="Times New Roman" w:cs="Times New Roman"/>
          <w:spacing w:val="1"/>
          <w:sz w:val="24"/>
          <w:szCs w:val="24"/>
        </w:rPr>
        <w:t>S</w:t>
      </w:r>
      <w:r w:rsidRPr="0036725A">
        <w:rPr>
          <w:rFonts w:ascii="Times New Roman" w:eastAsia="Times New Roman" w:hAnsi="Times New Roman" w:cs="Times New Roman"/>
          <w:sz w:val="24"/>
          <w:szCs w:val="24"/>
        </w:rPr>
        <w:t>t</w:t>
      </w:r>
      <w:r w:rsidRPr="0036725A">
        <w:rPr>
          <w:rFonts w:ascii="Times New Roman" w:eastAsia="Times New Roman" w:hAnsi="Times New Roman" w:cs="Times New Roman"/>
          <w:spacing w:val="-1"/>
          <w:sz w:val="24"/>
          <w:szCs w:val="24"/>
        </w:rPr>
        <w:t>a</w:t>
      </w:r>
      <w:r w:rsidRPr="0036725A">
        <w:rPr>
          <w:rFonts w:ascii="Times New Roman" w:eastAsia="Times New Roman" w:hAnsi="Times New Roman" w:cs="Times New Roman"/>
          <w:sz w:val="24"/>
          <w:szCs w:val="24"/>
        </w:rPr>
        <w:t>t</w:t>
      </w:r>
      <w:r w:rsidRPr="0036725A">
        <w:rPr>
          <w:rFonts w:ascii="Times New Roman" w:eastAsia="Times New Roman" w:hAnsi="Times New Roman" w:cs="Times New Roman"/>
          <w:spacing w:val="-1"/>
          <w:sz w:val="24"/>
          <w:szCs w:val="24"/>
        </w:rPr>
        <w:t>e</w:t>
      </w:r>
      <w:r w:rsidRPr="0036725A">
        <w:rPr>
          <w:rFonts w:ascii="Times New Roman" w:eastAsia="Times New Roman" w:hAnsi="Times New Roman" w:cs="Times New Roman"/>
          <w:sz w:val="24"/>
          <w:szCs w:val="24"/>
        </w:rPr>
        <w:t>s</w:t>
      </w:r>
      <w:r w:rsidRPr="0036725A">
        <w:rPr>
          <w:rFonts w:ascii="Times New Roman" w:eastAsia="Times New Roman" w:hAnsi="Times New Roman" w:cs="Times New Roman"/>
          <w:spacing w:val="3"/>
          <w:sz w:val="24"/>
          <w:szCs w:val="24"/>
        </w:rPr>
        <w:t xml:space="preserve"> </w:t>
      </w:r>
      <w:r w:rsidRPr="0036725A">
        <w:rPr>
          <w:rFonts w:ascii="Times New Roman" w:eastAsia="Times New Roman" w:hAnsi="Times New Roman" w:cs="Times New Roman"/>
          <w:sz w:val="24"/>
          <w:szCs w:val="24"/>
        </w:rPr>
        <w:t>T</w:t>
      </w:r>
      <w:r w:rsidRPr="0036725A">
        <w:rPr>
          <w:rFonts w:ascii="Times New Roman" w:eastAsia="Times New Roman" w:hAnsi="Times New Roman" w:cs="Times New Roman"/>
          <w:spacing w:val="-1"/>
          <w:sz w:val="24"/>
          <w:szCs w:val="24"/>
        </w:rPr>
        <w:t>a</w:t>
      </w:r>
      <w:r w:rsidRPr="0036725A">
        <w:rPr>
          <w:rFonts w:ascii="Times New Roman" w:eastAsia="Times New Roman" w:hAnsi="Times New Roman" w:cs="Times New Roman"/>
          <w:sz w:val="24"/>
          <w:szCs w:val="24"/>
        </w:rPr>
        <w:t>x</w:t>
      </w:r>
      <w:r w:rsidRPr="0036725A">
        <w:rPr>
          <w:rFonts w:ascii="Times New Roman" w:eastAsia="Times New Roman" w:hAnsi="Times New Roman" w:cs="Times New Roman"/>
          <w:spacing w:val="4"/>
          <w:sz w:val="24"/>
          <w:szCs w:val="24"/>
        </w:rPr>
        <w:t xml:space="preserve"> </w:t>
      </w:r>
      <w:r w:rsidRPr="0036725A">
        <w:rPr>
          <w:rFonts w:ascii="Times New Roman" w:eastAsia="Times New Roman" w:hAnsi="Times New Roman" w:cs="Times New Roman"/>
          <w:spacing w:val="1"/>
          <w:sz w:val="24"/>
          <w:szCs w:val="24"/>
        </w:rPr>
        <w:t>C</w:t>
      </w:r>
      <w:r w:rsidRPr="0036725A">
        <w:rPr>
          <w:rFonts w:ascii="Times New Roman" w:eastAsia="Times New Roman" w:hAnsi="Times New Roman" w:cs="Times New Roman"/>
          <w:sz w:val="24"/>
          <w:szCs w:val="24"/>
        </w:rPr>
        <w:t>ourt</w:t>
      </w:r>
      <w:r w:rsidRPr="0036725A">
        <w:rPr>
          <w:rFonts w:ascii="Times New Roman" w:eastAsia="Times New Roman" w:hAnsi="Times New Roman" w:cs="Times New Roman"/>
          <w:spacing w:val="3"/>
          <w:sz w:val="24"/>
          <w:szCs w:val="24"/>
        </w:rPr>
        <w:t xml:space="preserve"> </w:t>
      </w:r>
      <w:r w:rsidRPr="0036725A">
        <w:rPr>
          <w:rFonts w:ascii="Times New Roman" w:eastAsia="Times New Roman" w:hAnsi="Times New Roman" w:cs="Times New Roman"/>
          <w:sz w:val="24"/>
          <w:szCs w:val="24"/>
        </w:rPr>
        <w:t>in</w:t>
      </w:r>
      <w:r w:rsidRPr="0036725A">
        <w:rPr>
          <w:rFonts w:ascii="Times New Roman" w:eastAsia="Times New Roman" w:hAnsi="Times New Roman" w:cs="Times New Roman"/>
          <w:spacing w:val="4"/>
          <w:sz w:val="24"/>
          <w:szCs w:val="24"/>
        </w:rPr>
        <w:t xml:space="preserve"> </w:t>
      </w:r>
      <w:r w:rsidRPr="0036725A">
        <w:rPr>
          <w:rFonts w:ascii="Times New Roman" w:eastAsia="Times New Roman" w:hAnsi="Times New Roman" w:cs="Times New Roman"/>
          <w:spacing w:val="-1"/>
          <w:sz w:val="24"/>
          <w:szCs w:val="24"/>
        </w:rPr>
        <w:t>a</w:t>
      </w:r>
      <w:r w:rsidRPr="0036725A">
        <w:rPr>
          <w:rFonts w:ascii="Times New Roman" w:eastAsia="Times New Roman" w:hAnsi="Times New Roman" w:cs="Times New Roman"/>
          <w:sz w:val="24"/>
          <w:szCs w:val="24"/>
        </w:rPr>
        <w:t>n</w:t>
      </w:r>
      <w:r w:rsidRPr="0036725A">
        <w:rPr>
          <w:rFonts w:ascii="Times New Roman" w:eastAsia="Times New Roman" w:hAnsi="Times New Roman" w:cs="Times New Roman"/>
          <w:spacing w:val="4"/>
          <w:sz w:val="24"/>
          <w:szCs w:val="24"/>
        </w:rPr>
        <w:t xml:space="preserve"> </w:t>
      </w:r>
      <w:r w:rsidRPr="0036725A">
        <w:rPr>
          <w:rFonts w:ascii="Times New Roman" w:eastAsia="Times New Roman" w:hAnsi="Times New Roman" w:cs="Times New Roman"/>
          <w:sz w:val="24"/>
          <w:szCs w:val="24"/>
        </w:rPr>
        <w:t>opi</w:t>
      </w:r>
      <w:r w:rsidRPr="0036725A">
        <w:rPr>
          <w:rFonts w:ascii="Times New Roman" w:eastAsia="Times New Roman" w:hAnsi="Times New Roman" w:cs="Times New Roman"/>
          <w:spacing w:val="-2"/>
          <w:sz w:val="24"/>
          <w:szCs w:val="24"/>
        </w:rPr>
        <w:t>n</w:t>
      </w:r>
      <w:r w:rsidRPr="0036725A">
        <w:rPr>
          <w:rFonts w:ascii="Times New Roman" w:eastAsia="Times New Roman" w:hAnsi="Times New Roman" w:cs="Times New Roman"/>
          <w:sz w:val="24"/>
          <w:szCs w:val="24"/>
        </w:rPr>
        <w:t>ion iss</w:t>
      </w:r>
      <w:r w:rsidRPr="0036725A">
        <w:rPr>
          <w:rFonts w:ascii="Times New Roman" w:eastAsia="Times New Roman" w:hAnsi="Times New Roman" w:cs="Times New Roman"/>
          <w:spacing w:val="-2"/>
          <w:sz w:val="24"/>
          <w:szCs w:val="24"/>
        </w:rPr>
        <w:t>u</w:t>
      </w:r>
      <w:r w:rsidRPr="0036725A">
        <w:rPr>
          <w:rFonts w:ascii="Times New Roman" w:eastAsia="Times New Roman" w:hAnsi="Times New Roman" w:cs="Times New Roman"/>
          <w:spacing w:val="-1"/>
          <w:sz w:val="24"/>
          <w:szCs w:val="24"/>
        </w:rPr>
        <w:t>e</w:t>
      </w:r>
      <w:r w:rsidRPr="0036725A">
        <w:rPr>
          <w:rFonts w:ascii="Times New Roman" w:eastAsia="Times New Roman" w:hAnsi="Times New Roman" w:cs="Times New Roman"/>
          <w:sz w:val="24"/>
          <w:szCs w:val="24"/>
        </w:rPr>
        <w:t>d</w:t>
      </w:r>
      <w:r w:rsidRPr="0036725A">
        <w:rPr>
          <w:rFonts w:ascii="Times New Roman" w:eastAsia="Times New Roman" w:hAnsi="Times New Roman" w:cs="Times New Roman"/>
          <w:spacing w:val="1"/>
          <w:sz w:val="24"/>
          <w:szCs w:val="24"/>
        </w:rPr>
        <w:t xml:space="preserve"> </w:t>
      </w:r>
      <w:r w:rsidRPr="0036725A">
        <w:rPr>
          <w:rFonts w:ascii="Times New Roman" w:eastAsia="Times New Roman" w:hAnsi="Times New Roman" w:cs="Times New Roman"/>
          <w:spacing w:val="2"/>
          <w:sz w:val="24"/>
          <w:szCs w:val="24"/>
        </w:rPr>
        <w:t>b</w:t>
      </w:r>
      <w:r w:rsidRPr="0036725A">
        <w:rPr>
          <w:rFonts w:ascii="Times New Roman" w:eastAsia="Times New Roman" w:hAnsi="Times New Roman" w:cs="Times New Roman"/>
          <w:sz w:val="24"/>
          <w:szCs w:val="24"/>
        </w:rPr>
        <w:t>y</w:t>
      </w:r>
      <w:r w:rsidRPr="0036725A">
        <w:rPr>
          <w:rFonts w:ascii="Times New Roman" w:eastAsia="Times New Roman" w:hAnsi="Times New Roman" w:cs="Times New Roman"/>
          <w:spacing w:val="-2"/>
          <w:sz w:val="24"/>
          <w:szCs w:val="24"/>
        </w:rPr>
        <w:t xml:space="preserve"> </w:t>
      </w:r>
      <w:r w:rsidRPr="0036725A">
        <w:rPr>
          <w:rFonts w:ascii="Times New Roman" w:eastAsia="Times New Roman" w:hAnsi="Times New Roman" w:cs="Times New Roman"/>
          <w:spacing w:val="3"/>
          <w:sz w:val="24"/>
          <w:szCs w:val="24"/>
        </w:rPr>
        <w:t>J</w:t>
      </w:r>
      <w:r w:rsidRPr="0036725A">
        <w:rPr>
          <w:rFonts w:ascii="Times New Roman" w:eastAsia="Times New Roman" w:hAnsi="Times New Roman" w:cs="Times New Roman"/>
          <w:sz w:val="24"/>
          <w:szCs w:val="24"/>
        </w:rPr>
        <w:t>ud</w:t>
      </w:r>
      <w:r w:rsidRPr="0036725A">
        <w:rPr>
          <w:rFonts w:ascii="Times New Roman" w:eastAsia="Times New Roman" w:hAnsi="Times New Roman" w:cs="Times New Roman"/>
          <w:spacing w:val="-2"/>
          <w:sz w:val="24"/>
          <w:szCs w:val="24"/>
        </w:rPr>
        <w:t>g</w:t>
      </w:r>
      <w:r w:rsidRPr="0036725A">
        <w:rPr>
          <w:rFonts w:ascii="Times New Roman" w:eastAsia="Times New Roman" w:hAnsi="Times New Roman" w:cs="Times New Roman"/>
          <w:sz w:val="24"/>
          <w:szCs w:val="24"/>
        </w:rPr>
        <w:t xml:space="preserve">e </w:t>
      </w:r>
      <w:r w:rsidRPr="0036725A">
        <w:rPr>
          <w:rFonts w:ascii="Times New Roman" w:eastAsia="Times New Roman" w:hAnsi="Times New Roman" w:cs="Times New Roman"/>
          <w:spacing w:val="2"/>
          <w:sz w:val="24"/>
          <w:szCs w:val="24"/>
        </w:rPr>
        <w:t>K</w:t>
      </w:r>
      <w:r w:rsidRPr="0036725A">
        <w:rPr>
          <w:rFonts w:ascii="Times New Roman" w:eastAsia="Times New Roman" w:hAnsi="Times New Roman" w:cs="Times New Roman"/>
          <w:spacing w:val="-1"/>
          <w:sz w:val="24"/>
          <w:szCs w:val="24"/>
        </w:rPr>
        <w:t>a</w:t>
      </w:r>
      <w:r w:rsidRPr="0036725A">
        <w:rPr>
          <w:rFonts w:ascii="Times New Roman" w:eastAsia="Times New Roman" w:hAnsi="Times New Roman" w:cs="Times New Roman"/>
          <w:sz w:val="24"/>
          <w:szCs w:val="24"/>
        </w:rPr>
        <w:t>thl</w:t>
      </w:r>
      <w:r w:rsidRPr="0036725A">
        <w:rPr>
          <w:rFonts w:ascii="Times New Roman" w:eastAsia="Times New Roman" w:hAnsi="Times New Roman" w:cs="Times New Roman"/>
          <w:spacing w:val="-1"/>
          <w:sz w:val="24"/>
          <w:szCs w:val="24"/>
        </w:rPr>
        <w:t>ee</w:t>
      </w:r>
      <w:r w:rsidRPr="0036725A">
        <w:rPr>
          <w:rFonts w:ascii="Times New Roman" w:eastAsia="Times New Roman" w:hAnsi="Times New Roman" w:cs="Times New Roman"/>
          <w:sz w:val="24"/>
          <w:szCs w:val="24"/>
        </w:rPr>
        <w:t>n K</w:t>
      </w:r>
      <w:r w:rsidRPr="0036725A">
        <w:rPr>
          <w:rFonts w:ascii="Times New Roman" w:eastAsia="Times New Roman" w:hAnsi="Times New Roman" w:cs="Times New Roman"/>
          <w:spacing w:val="-1"/>
          <w:sz w:val="24"/>
          <w:szCs w:val="24"/>
        </w:rPr>
        <w:t>e</w:t>
      </w:r>
      <w:r w:rsidRPr="0036725A">
        <w:rPr>
          <w:rFonts w:ascii="Times New Roman" w:eastAsia="Times New Roman" w:hAnsi="Times New Roman" w:cs="Times New Roman"/>
          <w:sz w:val="24"/>
          <w:szCs w:val="24"/>
        </w:rPr>
        <w:t>rr</w:t>
      </w:r>
      <w:r w:rsidRPr="0036725A">
        <w:rPr>
          <w:rFonts w:ascii="Times New Roman" w:eastAsia="Times New Roman" w:hAnsi="Times New Roman" w:cs="Times New Roman"/>
          <w:spacing w:val="3"/>
          <w:sz w:val="24"/>
          <w:szCs w:val="24"/>
        </w:rPr>
        <w:t>i</w:t>
      </w:r>
      <w:r w:rsidRPr="0036725A">
        <w:rPr>
          <w:rFonts w:ascii="Times New Roman" w:eastAsia="Times New Roman" w:hAnsi="Times New Roman" w:cs="Times New Roman"/>
          <w:spacing w:val="-2"/>
          <w:sz w:val="24"/>
          <w:szCs w:val="24"/>
        </w:rPr>
        <w:t>g</w:t>
      </w:r>
      <w:r w:rsidRPr="0036725A">
        <w:rPr>
          <w:rFonts w:ascii="Times New Roman" w:eastAsia="Times New Roman" w:hAnsi="Times New Roman" w:cs="Times New Roman"/>
          <w:spacing w:val="-1"/>
          <w:sz w:val="24"/>
          <w:szCs w:val="24"/>
        </w:rPr>
        <w:t>a</w:t>
      </w:r>
      <w:r w:rsidRPr="0036725A">
        <w:rPr>
          <w:rFonts w:ascii="Times New Roman" w:eastAsia="Times New Roman" w:hAnsi="Times New Roman" w:cs="Times New Roman"/>
          <w:sz w:val="24"/>
          <w:szCs w:val="24"/>
        </w:rPr>
        <w:t>n</w:t>
      </w:r>
      <w:r w:rsidRPr="0036725A">
        <w:rPr>
          <w:rFonts w:ascii="Times New Roman" w:eastAsia="Times New Roman" w:hAnsi="Times New Roman" w:cs="Times New Roman"/>
          <w:spacing w:val="-5"/>
          <w:sz w:val="24"/>
          <w:szCs w:val="24"/>
        </w:rPr>
        <w:t xml:space="preserve"> </w:t>
      </w:r>
      <w:r w:rsidRPr="0036725A">
        <w:rPr>
          <w:rFonts w:ascii="Times New Roman" w:eastAsia="Times New Roman" w:hAnsi="Times New Roman" w:cs="Times New Roman"/>
          <w:sz w:val="24"/>
          <w:szCs w:val="24"/>
        </w:rPr>
        <w:t>(the</w:t>
      </w:r>
      <w:r w:rsidRPr="0036725A">
        <w:rPr>
          <w:rFonts w:ascii="Times New Roman" w:eastAsia="Times New Roman" w:hAnsi="Times New Roman" w:cs="Times New Roman"/>
          <w:spacing w:val="-5"/>
          <w:sz w:val="24"/>
          <w:szCs w:val="24"/>
        </w:rPr>
        <w:t xml:space="preserve"> </w:t>
      </w:r>
      <w:r w:rsidRPr="0036725A">
        <w:rPr>
          <w:rFonts w:ascii="Times New Roman" w:eastAsia="Times New Roman" w:hAnsi="Times New Roman" w:cs="Times New Roman"/>
          <w:spacing w:val="-1"/>
          <w:sz w:val="24"/>
          <w:szCs w:val="24"/>
        </w:rPr>
        <w:t>“</w:t>
      </w:r>
      <w:r w:rsidRPr="0036725A">
        <w:rPr>
          <w:rFonts w:ascii="Times New Roman" w:eastAsia="Times New Roman" w:hAnsi="Times New Roman" w:cs="Times New Roman"/>
          <w:sz w:val="24"/>
          <w:szCs w:val="24"/>
        </w:rPr>
        <w:t>Opinion</w:t>
      </w:r>
      <w:r w:rsidRPr="0036725A">
        <w:rPr>
          <w:rFonts w:ascii="Times New Roman" w:eastAsia="Times New Roman" w:hAnsi="Times New Roman" w:cs="Times New Roman"/>
          <w:spacing w:val="2"/>
          <w:sz w:val="24"/>
          <w:szCs w:val="24"/>
        </w:rPr>
        <w:t>”</w:t>
      </w:r>
      <w:r w:rsidRPr="0036725A">
        <w:rPr>
          <w:rFonts w:ascii="Times New Roman" w:eastAsia="Times New Roman" w:hAnsi="Times New Roman" w:cs="Times New Roman"/>
          <w:sz w:val="24"/>
          <w:szCs w:val="24"/>
        </w:rPr>
        <w:t>)</w:t>
      </w:r>
      <w:r w:rsidRPr="0036725A">
        <w:rPr>
          <w:rFonts w:ascii="Times New Roman" w:eastAsia="Times New Roman" w:hAnsi="Times New Roman" w:cs="Times New Roman"/>
          <w:spacing w:val="-7"/>
          <w:sz w:val="24"/>
          <w:szCs w:val="24"/>
        </w:rPr>
        <w:t xml:space="preserve"> </w:t>
      </w:r>
      <w:r w:rsidRPr="0036725A">
        <w:rPr>
          <w:rFonts w:ascii="Times New Roman" w:eastAsia="Times New Roman" w:hAnsi="Times New Roman" w:cs="Times New Roman"/>
          <w:sz w:val="24"/>
          <w:szCs w:val="24"/>
        </w:rPr>
        <w:t>on</w:t>
      </w:r>
      <w:r w:rsidRPr="0036725A">
        <w:rPr>
          <w:rFonts w:ascii="Times New Roman" w:eastAsia="Times New Roman" w:hAnsi="Times New Roman" w:cs="Times New Roman"/>
          <w:spacing w:val="-2"/>
          <w:sz w:val="24"/>
          <w:szCs w:val="24"/>
        </w:rPr>
        <w:t xml:space="preserve"> </w:t>
      </w:r>
      <w:r w:rsidRPr="0036725A">
        <w:rPr>
          <w:rFonts w:ascii="Times New Roman" w:eastAsia="Times New Roman" w:hAnsi="Times New Roman" w:cs="Times New Roman"/>
          <w:spacing w:val="3"/>
          <w:sz w:val="24"/>
          <w:szCs w:val="24"/>
        </w:rPr>
        <w:t>J</w:t>
      </w:r>
      <w:r w:rsidRPr="0036725A">
        <w:rPr>
          <w:rFonts w:ascii="Times New Roman" w:eastAsia="Times New Roman" w:hAnsi="Times New Roman" w:cs="Times New Roman"/>
          <w:sz w:val="24"/>
          <w:szCs w:val="24"/>
        </w:rPr>
        <w:t>une</w:t>
      </w:r>
      <w:r w:rsidRPr="0036725A">
        <w:rPr>
          <w:rFonts w:ascii="Times New Roman" w:eastAsia="Times New Roman" w:hAnsi="Times New Roman" w:cs="Times New Roman"/>
          <w:spacing w:val="-5"/>
          <w:sz w:val="24"/>
          <w:szCs w:val="24"/>
        </w:rPr>
        <w:t xml:space="preserve"> </w:t>
      </w:r>
      <w:r w:rsidRPr="0036725A">
        <w:rPr>
          <w:rFonts w:ascii="Times New Roman" w:eastAsia="Times New Roman" w:hAnsi="Times New Roman" w:cs="Times New Roman"/>
          <w:sz w:val="24"/>
          <w:szCs w:val="24"/>
        </w:rPr>
        <w:t>18,</w:t>
      </w:r>
      <w:r w:rsidRPr="0036725A">
        <w:rPr>
          <w:rFonts w:ascii="Times New Roman" w:eastAsia="Times New Roman" w:hAnsi="Times New Roman" w:cs="Times New Roman"/>
          <w:spacing w:val="-3"/>
          <w:sz w:val="24"/>
          <w:szCs w:val="24"/>
        </w:rPr>
        <w:t xml:space="preserve"> </w:t>
      </w:r>
      <w:r w:rsidRPr="0036725A">
        <w:rPr>
          <w:rFonts w:ascii="Times New Roman" w:eastAsia="Times New Roman" w:hAnsi="Times New Roman" w:cs="Times New Roman"/>
          <w:sz w:val="24"/>
          <w:szCs w:val="24"/>
        </w:rPr>
        <w:t>2018.</w:t>
      </w:r>
    </w:p>
    <w:p w14:paraId="2B1F8C46" w14:textId="6A5C9A5D" w:rsidR="00364083" w:rsidRPr="0036725A" w:rsidRDefault="00364083" w:rsidP="00364083">
      <w:pPr>
        <w:spacing w:after="0" w:line="240" w:lineRule="auto"/>
        <w:rPr>
          <w:rFonts w:ascii="Times New Roman" w:hAnsi="Times New Roman" w:cs="Times New Roman"/>
          <w:sz w:val="24"/>
          <w:szCs w:val="24"/>
        </w:rPr>
      </w:pPr>
    </w:p>
    <w:p w14:paraId="74551718" w14:textId="25D745C2" w:rsidR="00A71048" w:rsidRDefault="00364083" w:rsidP="00364083">
      <w:pPr>
        <w:spacing w:after="0" w:line="240" w:lineRule="auto"/>
        <w:rPr>
          <w:rFonts w:ascii="Times New Roman" w:hAnsi="Times New Roman" w:cs="Times New Roman"/>
          <w:sz w:val="24"/>
          <w:szCs w:val="24"/>
        </w:rPr>
      </w:pPr>
      <w:r w:rsidRPr="0036725A">
        <w:rPr>
          <w:rFonts w:ascii="Times New Roman" w:hAnsi="Times New Roman" w:cs="Times New Roman"/>
          <w:sz w:val="24"/>
          <w:szCs w:val="24"/>
        </w:rPr>
        <w:t>In</w:t>
      </w:r>
      <w:r w:rsidR="0016003B">
        <w:rPr>
          <w:rFonts w:ascii="Times New Roman" w:hAnsi="Times New Roman" w:cs="Times New Roman"/>
          <w:sz w:val="24"/>
          <w:szCs w:val="24"/>
        </w:rPr>
        <w:t xml:space="preserve"> our</w:t>
      </w:r>
      <w:r w:rsidRPr="0036725A">
        <w:rPr>
          <w:rFonts w:ascii="Times New Roman" w:hAnsi="Times New Roman" w:cs="Times New Roman"/>
          <w:sz w:val="24"/>
          <w:szCs w:val="24"/>
        </w:rPr>
        <w:t xml:space="preserve"> continuing series on the recent opinion issued in </w:t>
      </w:r>
      <w:r w:rsidRPr="0036725A">
        <w:rPr>
          <w:rFonts w:ascii="Times New Roman" w:hAnsi="Times New Roman" w:cs="Times New Roman"/>
          <w:i/>
          <w:sz w:val="24"/>
          <w:szCs w:val="24"/>
        </w:rPr>
        <w:t>Reserve</w:t>
      </w:r>
      <w:r w:rsidRPr="0036725A">
        <w:rPr>
          <w:rFonts w:ascii="Times New Roman" w:hAnsi="Times New Roman" w:cs="Times New Roman"/>
          <w:sz w:val="24"/>
          <w:szCs w:val="24"/>
        </w:rPr>
        <w:t>,</w:t>
      </w:r>
      <w:r w:rsidRPr="0036725A">
        <w:rPr>
          <w:rFonts w:ascii="Times New Roman" w:hAnsi="Times New Roman" w:cs="Times New Roman"/>
          <w:i/>
          <w:sz w:val="24"/>
          <w:szCs w:val="24"/>
        </w:rPr>
        <w:t xml:space="preserve"> </w:t>
      </w:r>
      <w:r w:rsidRPr="0036725A">
        <w:rPr>
          <w:rFonts w:ascii="Times New Roman" w:hAnsi="Times New Roman" w:cs="Times New Roman"/>
          <w:sz w:val="24"/>
          <w:szCs w:val="24"/>
        </w:rPr>
        <w:t xml:space="preserve">this </w:t>
      </w:r>
      <w:r w:rsidR="00311D76" w:rsidRPr="0036725A">
        <w:rPr>
          <w:rFonts w:ascii="Times New Roman" w:hAnsi="Times New Roman" w:cs="Times New Roman"/>
          <w:sz w:val="24"/>
          <w:szCs w:val="24"/>
        </w:rPr>
        <w:t>third</w:t>
      </w:r>
      <w:r w:rsidRPr="0036725A">
        <w:rPr>
          <w:rFonts w:ascii="Times New Roman" w:hAnsi="Times New Roman" w:cs="Times New Roman"/>
          <w:sz w:val="24"/>
          <w:szCs w:val="24"/>
        </w:rPr>
        <w:t xml:space="preserve"> commentary addresses the issues involving insurance policy </w:t>
      </w:r>
      <w:r w:rsidR="00311D76" w:rsidRPr="0036725A">
        <w:rPr>
          <w:rFonts w:ascii="Times New Roman" w:hAnsi="Times New Roman" w:cs="Times New Roman"/>
          <w:sz w:val="24"/>
          <w:szCs w:val="24"/>
        </w:rPr>
        <w:t>selection</w:t>
      </w:r>
      <w:r w:rsidRPr="0036725A">
        <w:rPr>
          <w:rFonts w:ascii="Times New Roman" w:hAnsi="Times New Roman" w:cs="Times New Roman"/>
          <w:sz w:val="24"/>
          <w:szCs w:val="24"/>
        </w:rPr>
        <w:t xml:space="preserve"> </w:t>
      </w:r>
      <w:r w:rsidR="00673F42" w:rsidRPr="0036725A">
        <w:rPr>
          <w:rFonts w:ascii="Times New Roman" w:hAnsi="Times New Roman" w:cs="Times New Roman"/>
          <w:sz w:val="24"/>
          <w:szCs w:val="24"/>
        </w:rPr>
        <w:t xml:space="preserve">and related issues </w:t>
      </w:r>
      <w:r w:rsidRPr="0036725A">
        <w:rPr>
          <w:rFonts w:ascii="Times New Roman" w:hAnsi="Times New Roman" w:cs="Times New Roman"/>
          <w:sz w:val="24"/>
          <w:szCs w:val="24"/>
        </w:rPr>
        <w:t>raised in the case</w:t>
      </w:r>
      <w:r w:rsidRPr="0036725A">
        <w:rPr>
          <w:rFonts w:ascii="Times New Roman" w:hAnsi="Times New Roman" w:cs="Times New Roman"/>
          <w:i/>
          <w:sz w:val="24"/>
          <w:szCs w:val="24"/>
        </w:rPr>
        <w:t xml:space="preserve">. </w:t>
      </w:r>
      <w:r w:rsidRPr="0036725A">
        <w:rPr>
          <w:rFonts w:ascii="Times New Roman" w:hAnsi="Times New Roman" w:cs="Times New Roman"/>
          <w:sz w:val="24"/>
          <w:szCs w:val="24"/>
        </w:rPr>
        <w:t xml:space="preserve">The Opinion and trial transcript can be found </w:t>
      </w:r>
      <w:hyperlink r:id="rId8" w:history="1">
        <w:r w:rsidRPr="0036725A">
          <w:rPr>
            <w:rStyle w:val="Hyperlink"/>
            <w:rFonts w:ascii="Times New Roman" w:hAnsi="Times New Roman" w:cs="Times New Roman"/>
            <w:sz w:val="24"/>
            <w:szCs w:val="24"/>
          </w:rPr>
          <w:t>here</w:t>
        </w:r>
      </w:hyperlink>
      <w:r w:rsidR="00693EF8" w:rsidRPr="0036725A">
        <w:rPr>
          <w:rFonts w:ascii="Times New Roman" w:hAnsi="Times New Roman" w:cs="Times New Roman"/>
          <w:sz w:val="24"/>
          <w:szCs w:val="24"/>
        </w:rPr>
        <w:t>, along with additional links to the</w:t>
      </w:r>
      <w:r w:rsidR="00B14EDA" w:rsidRPr="0036725A">
        <w:rPr>
          <w:rFonts w:ascii="Times New Roman" w:hAnsi="Times New Roman" w:cs="Times New Roman"/>
          <w:sz w:val="24"/>
          <w:szCs w:val="24"/>
        </w:rPr>
        <w:t xml:space="preserve"> </w:t>
      </w:r>
      <w:r w:rsidR="009C17F9" w:rsidRPr="0036725A">
        <w:rPr>
          <w:rFonts w:ascii="Times New Roman" w:hAnsi="Times New Roman" w:cs="Times New Roman"/>
          <w:sz w:val="24"/>
          <w:szCs w:val="24"/>
        </w:rPr>
        <w:t xml:space="preserve">opening </w:t>
      </w:r>
      <w:r w:rsidR="00B14EDA" w:rsidRPr="0036725A">
        <w:rPr>
          <w:rFonts w:ascii="Times New Roman" w:hAnsi="Times New Roman" w:cs="Times New Roman"/>
          <w:sz w:val="24"/>
          <w:szCs w:val="24"/>
        </w:rPr>
        <w:t>briefs</w:t>
      </w:r>
      <w:r w:rsidR="004771EA" w:rsidRPr="0036725A">
        <w:rPr>
          <w:rFonts w:ascii="Times New Roman" w:hAnsi="Times New Roman" w:cs="Times New Roman"/>
          <w:sz w:val="24"/>
          <w:szCs w:val="24"/>
        </w:rPr>
        <w:t xml:space="preserve">, </w:t>
      </w:r>
      <w:r w:rsidR="009C17F9" w:rsidRPr="0036725A">
        <w:rPr>
          <w:rFonts w:ascii="Times New Roman" w:hAnsi="Times New Roman" w:cs="Times New Roman"/>
          <w:sz w:val="24"/>
          <w:szCs w:val="24"/>
        </w:rPr>
        <w:t>reply briefs</w:t>
      </w:r>
      <w:r w:rsidR="004771EA" w:rsidRPr="0036725A">
        <w:rPr>
          <w:rFonts w:ascii="Times New Roman" w:hAnsi="Times New Roman" w:cs="Times New Roman"/>
          <w:sz w:val="24"/>
          <w:szCs w:val="24"/>
        </w:rPr>
        <w:t xml:space="preserve">, and </w:t>
      </w:r>
      <w:r w:rsidR="00B125A8">
        <w:rPr>
          <w:rFonts w:ascii="Times New Roman" w:hAnsi="Times New Roman" w:cs="Times New Roman"/>
          <w:sz w:val="24"/>
          <w:szCs w:val="24"/>
        </w:rPr>
        <w:t xml:space="preserve">post-briefing </w:t>
      </w:r>
      <w:r w:rsidR="004771EA" w:rsidRPr="0036725A">
        <w:rPr>
          <w:rFonts w:ascii="Times New Roman" w:hAnsi="Times New Roman" w:cs="Times New Roman"/>
          <w:sz w:val="24"/>
          <w:szCs w:val="24"/>
        </w:rPr>
        <w:t xml:space="preserve">issues memoranda </w:t>
      </w:r>
      <w:r w:rsidR="006258ED">
        <w:rPr>
          <w:rFonts w:ascii="Times New Roman" w:hAnsi="Times New Roman" w:cs="Times New Roman"/>
          <w:sz w:val="24"/>
          <w:szCs w:val="24"/>
        </w:rPr>
        <w:t xml:space="preserve">(regarding </w:t>
      </w:r>
      <w:r w:rsidR="006258ED" w:rsidRPr="00C048EE">
        <w:rPr>
          <w:rFonts w:ascii="Times New Roman" w:hAnsi="Times New Roman" w:cs="Times New Roman"/>
          <w:i/>
          <w:sz w:val="24"/>
          <w:szCs w:val="24"/>
        </w:rPr>
        <w:t>Avrahami</w:t>
      </w:r>
      <w:r w:rsidR="006258ED">
        <w:rPr>
          <w:rFonts w:ascii="Times New Roman" w:hAnsi="Times New Roman" w:cs="Times New Roman"/>
          <w:sz w:val="24"/>
          <w:szCs w:val="24"/>
        </w:rPr>
        <w:t xml:space="preserve">) </w:t>
      </w:r>
      <w:r w:rsidR="003A27CF" w:rsidRPr="0036725A">
        <w:rPr>
          <w:rFonts w:ascii="Times New Roman" w:hAnsi="Times New Roman" w:cs="Times New Roman"/>
          <w:sz w:val="24"/>
          <w:szCs w:val="24"/>
        </w:rPr>
        <w:t xml:space="preserve">that were </w:t>
      </w:r>
      <w:r w:rsidR="008839C5" w:rsidRPr="0036725A">
        <w:rPr>
          <w:rFonts w:ascii="Times New Roman" w:hAnsi="Times New Roman" w:cs="Times New Roman"/>
          <w:sz w:val="24"/>
          <w:szCs w:val="24"/>
        </w:rPr>
        <w:t xml:space="preserve">filed </w:t>
      </w:r>
      <w:r w:rsidR="00B1268D" w:rsidRPr="0036725A">
        <w:rPr>
          <w:rFonts w:ascii="Times New Roman" w:hAnsi="Times New Roman" w:cs="Times New Roman"/>
          <w:sz w:val="24"/>
          <w:szCs w:val="24"/>
        </w:rPr>
        <w:t xml:space="preserve">both </w:t>
      </w:r>
      <w:r w:rsidR="00673F42" w:rsidRPr="0036725A">
        <w:rPr>
          <w:rFonts w:ascii="Times New Roman" w:hAnsi="Times New Roman" w:cs="Times New Roman"/>
          <w:sz w:val="24"/>
          <w:szCs w:val="24"/>
        </w:rPr>
        <w:t xml:space="preserve">by </w:t>
      </w:r>
      <w:r w:rsidR="00872466" w:rsidRPr="0036725A">
        <w:rPr>
          <w:rFonts w:ascii="Times New Roman" w:hAnsi="Times New Roman" w:cs="Times New Roman"/>
          <w:sz w:val="24"/>
          <w:szCs w:val="24"/>
        </w:rPr>
        <w:t>Petitioner (</w:t>
      </w:r>
      <w:r w:rsidR="008839C5" w:rsidRPr="0036725A">
        <w:rPr>
          <w:rFonts w:ascii="Times New Roman" w:hAnsi="Times New Roman" w:cs="Times New Roman"/>
          <w:sz w:val="24"/>
          <w:szCs w:val="24"/>
        </w:rPr>
        <w:t>Reserve</w:t>
      </w:r>
      <w:r w:rsidR="00872466" w:rsidRPr="0036725A">
        <w:rPr>
          <w:rFonts w:ascii="Times New Roman" w:hAnsi="Times New Roman" w:cs="Times New Roman"/>
          <w:sz w:val="24"/>
          <w:szCs w:val="24"/>
        </w:rPr>
        <w:t>)</w:t>
      </w:r>
      <w:r w:rsidR="008839C5" w:rsidRPr="0036725A">
        <w:rPr>
          <w:rFonts w:ascii="Times New Roman" w:hAnsi="Times New Roman" w:cs="Times New Roman"/>
          <w:sz w:val="24"/>
          <w:szCs w:val="24"/>
        </w:rPr>
        <w:t xml:space="preserve"> and </w:t>
      </w:r>
      <w:r w:rsidR="00673F42" w:rsidRPr="0036725A">
        <w:rPr>
          <w:rFonts w:ascii="Times New Roman" w:hAnsi="Times New Roman" w:cs="Times New Roman"/>
          <w:sz w:val="24"/>
          <w:szCs w:val="24"/>
        </w:rPr>
        <w:t xml:space="preserve">by </w:t>
      </w:r>
      <w:r w:rsidR="00872466" w:rsidRPr="0036725A">
        <w:rPr>
          <w:rFonts w:ascii="Times New Roman" w:hAnsi="Times New Roman" w:cs="Times New Roman"/>
          <w:sz w:val="24"/>
          <w:szCs w:val="24"/>
        </w:rPr>
        <w:t>Respondent (</w:t>
      </w:r>
      <w:r w:rsidR="009C17F9" w:rsidRPr="0036725A">
        <w:rPr>
          <w:rFonts w:ascii="Times New Roman" w:hAnsi="Times New Roman" w:cs="Times New Roman"/>
          <w:sz w:val="24"/>
          <w:szCs w:val="24"/>
        </w:rPr>
        <w:t>I</w:t>
      </w:r>
      <w:r w:rsidR="00872466" w:rsidRPr="0036725A">
        <w:rPr>
          <w:rFonts w:ascii="Times New Roman" w:hAnsi="Times New Roman" w:cs="Times New Roman"/>
          <w:sz w:val="24"/>
          <w:szCs w:val="24"/>
        </w:rPr>
        <w:t>nternal Revenue Service)</w:t>
      </w:r>
      <w:r w:rsidR="00673F42" w:rsidRPr="0036725A">
        <w:rPr>
          <w:rFonts w:ascii="Times New Roman" w:hAnsi="Times New Roman" w:cs="Times New Roman"/>
          <w:sz w:val="24"/>
          <w:szCs w:val="24"/>
        </w:rPr>
        <w:t xml:space="preserve"> in </w:t>
      </w:r>
      <w:r w:rsidR="00673F42" w:rsidRPr="0036725A">
        <w:rPr>
          <w:rFonts w:ascii="Times New Roman" w:hAnsi="Times New Roman" w:cs="Times New Roman"/>
          <w:i/>
          <w:sz w:val="24"/>
          <w:szCs w:val="24"/>
        </w:rPr>
        <w:t>Reserve</w:t>
      </w:r>
      <w:r w:rsidR="00673F42" w:rsidRPr="0036725A">
        <w:rPr>
          <w:rFonts w:ascii="Times New Roman" w:hAnsi="Times New Roman" w:cs="Times New Roman"/>
          <w:sz w:val="24"/>
          <w:szCs w:val="24"/>
        </w:rPr>
        <w:t>.</w:t>
      </w:r>
    </w:p>
    <w:p w14:paraId="7F63E05C" w14:textId="77777777" w:rsidR="00A71048" w:rsidRDefault="00A71048" w:rsidP="00364083">
      <w:pPr>
        <w:spacing w:after="0" w:line="240" w:lineRule="auto"/>
        <w:rPr>
          <w:rFonts w:ascii="Times New Roman" w:hAnsi="Times New Roman" w:cs="Times New Roman"/>
          <w:sz w:val="24"/>
          <w:szCs w:val="24"/>
        </w:rPr>
      </w:pPr>
    </w:p>
    <w:p w14:paraId="35A33850" w14:textId="1AC46A15" w:rsidR="00364083" w:rsidRPr="0036725A" w:rsidRDefault="00670E08" w:rsidP="003640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Because the </w:t>
      </w:r>
      <w:r w:rsidR="002F2334">
        <w:rPr>
          <w:rFonts w:ascii="Times New Roman" w:hAnsi="Times New Roman" w:cs="Times New Roman"/>
          <w:sz w:val="24"/>
          <w:szCs w:val="24"/>
        </w:rPr>
        <w:t xml:space="preserve">Opinion in </w:t>
      </w:r>
      <w:r w:rsidR="000F4E23" w:rsidRPr="000F4E23">
        <w:rPr>
          <w:rFonts w:ascii="Times New Roman" w:hAnsi="Times New Roman" w:cs="Times New Roman"/>
          <w:i/>
          <w:sz w:val="24"/>
          <w:szCs w:val="24"/>
        </w:rPr>
        <w:t>Reserve</w:t>
      </w:r>
      <w:r w:rsidR="000F4E23">
        <w:rPr>
          <w:rFonts w:ascii="Times New Roman" w:hAnsi="Times New Roman" w:cs="Times New Roman"/>
          <w:sz w:val="24"/>
          <w:szCs w:val="24"/>
        </w:rPr>
        <w:t xml:space="preserve"> </w:t>
      </w:r>
      <w:r w:rsidR="002F2334">
        <w:rPr>
          <w:rFonts w:ascii="Times New Roman" w:hAnsi="Times New Roman" w:cs="Times New Roman"/>
          <w:sz w:val="24"/>
          <w:szCs w:val="24"/>
        </w:rPr>
        <w:t xml:space="preserve">departs so markedly from the </w:t>
      </w:r>
      <w:r w:rsidR="00991047">
        <w:rPr>
          <w:rFonts w:ascii="Times New Roman" w:hAnsi="Times New Roman" w:cs="Times New Roman"/>
          <w:sz w:val="24"/>
          <w:szCs w:val="24"/>
        </w:rPr>
        <w:t xml:space="preserve">evidence and issues </w:t>
      </w:r>
      <w:r w:rsidR="002F2334">
        <w:rPr>
          <w:rFonts w:ascii="Times New Roman" w:hAnsi="Times New Roman" w:cs="Times New Roman"/>
          <w:sz w:val="24"/>
          <w:szCs w:val="24"/>
        </w:rPr>
        <w:t>presented at trial,</w:t>
      </w:r>
      <w:r w:rsidR="00D76EA3">
        <w:rPr>
          <w:rFonts w:ascii="Times New Roman" w:hAnsi="Times New Roman" w:cs="Times New Roman"/>
          <w:sz w:val="24"/>
          <w:szCs w:val="24"/>
        </w:rPr>
        <w:t xml:space="preserve"> </w:t>
      </w:r>
      <w:r w:rsidR="00314B44">
        <w:rPr>
          <w:rFonts w:ascii="Times New Roman" w:hAnsi="Times New Roman" w:cs="Times New Roman"/>
          <w:sz w:val="24"/>
          <w:szCs w:val="24"/>
        </w:rPr>
        <w:t xml:space="preserve">any </w:t>
      </w:r>
      <w:r w:rsidR="000D425A">
        <w:rPr>
          <w:rFonts w:ascii="Times New Roman" w:hAnsi="Times New Roman" w:cs="Times New Roman"/>
          <w:sz w:val="24"/>
          <w:szCs w:val="24"/>
        </w:rPr>
        <w:t>serious analysis</w:t>
      </w:r>
      <w:r w:rsidR="00314B44">
        <w:rPr>
          <w:rFonts w:ascii="Times New Roman" w:hAnsi="Times New Roman" w:cs="Times New Roman"/>
          <w:sz w:val="24"/>
          <w:szCs w:val="24"/>
        </w:rPr>
        <w:t xml:space="preserve"> must be </w:t>
      </w:r>
      <w:r w:rsidR="00131498">
        <w:rPr>
          <w:rFonts w:ascii="Times New Roman" w:hAnsi="Times New Roman" w:cs="Times New Roman"/>
          <w:sz w:val="24"/>
          <w:szCs w:val="24"/>
        </w:rPr>
        <w:t xml:space="preserve">based on a review of the trial transcript, the expert reports, and the post-trial briefing. </w:t>
      </w:r>
      <w:r w:rsidR="007532CF">
        <w:rPr>
          <w:rFonts w:ascii="Times New Roman" w:hAnsi="Times New Roman" w:cs="Times New Roman"/>
          <w:sz w:val="24"/>
          <w:szCs w:val="24"/>
        </w:rPr>
        <w:t>For these reasons, links to such have been provided above.</w:t>
      </w:r>
    </w:p>
    <w:p w14:paraId="51B41786" w14:textId="77777777" w:rsidR="00382265" w:rsidRPr="0036725A" w:rsidRDefault="00382265" w:rsidP="00364083">
      <w:pPr>
        <w:spacing w:after="0" w:line="240" w:lineRule="auto"/>
        <w:rPr>
          <w:rFonts w:ascii="Times New Roman" w:hAnsi="Times New Roman" w:cs="Times New Roman"/>
          <w:sz w:val="24"/>
          <w:szCs w:val="24"/>
        </w:rPr>
      </w:pPr>
    </w:p>
    <w:p w14:paraId="04F74DF2" w14:textId="2991FDF0" w:rsidR="00382265" w:rsidRPr="0036725A" w:rsidRDefault="00382265" w:rsidP="00364083">
      <w:pPr>
        <w:spacing w:after="0" w:line="240" w:lineRule="auto"/>
        <w:rPr>
          <w:rFonts w:ascii="Times New Roman" w:hAnsi="Times New Roman" w:cs="Times New Roman"/>
          <w:sz w:val="24"/>
          <w:szCs w:val="24"/>
        </w:rPr>
      </w:pPr>
      <w:r w:rsidRPr="0036725A">
        <w:rPr>
          <w:rFonts w:ascii="Times New Roman" w:hAnsi="Times New Roman" w:cs="Times New Roman"/>
          <w:sz w:val="24"/>
          <w:szCs w:val="24"/>
        </w:rPr>
        <w:t>Reserve</w:t>
      </w:r>
      <w:r w:rsidR="00A51ED3" w:rsidRPr="0036725A">
        <w:rPr>
          <w:rFonts w:ascii="Times New Roman" w:hAnsi="Times New Roman" w:cs="Times New Roman"/>
          <w:sz w:val="24"/>
          <w:szCs w:val="24"/>
        </w:rPr>
        <w:t xml:space="preserve"> filed a Mo</w:t>
      </w:r>
      <w:r w:rsidR="005A3073">
        <w:rPr>
          <w:rFonts w:ascii="Times New Roman" w:hAnsi="Times New Roman" w:cs="Times New Roman"/>
          <w:sz w:val="24"/>
          <w:szCs w:val="24"/>
        </w:rPr>
        <w:softHyphen/>
      </w:r>
      <w:r w:rsidR="005A3073">
        <w:rPr>
          <w:rFonts w:ascii="Times New Roman" w:hAnsi="Times New Roman" w:cs="Times New Roman"/>
          <w:sz w:val="24"/>
          <w:szCs w:val="24"/>
        </w:rPr>
        <w:softHyphen/>
      </w:r>
      <w:r w:rsidR="00A51ED3" w:rsidRPr="0036725A">
        <w:rPr>
          <w:rFonts w:ascii="Times New Roman" w:hAnsi="Times New Roman" w:cs="Times New Roman"/>
          <w:sz w:val="24"/>
          <w:szCs w:val="24"/>
        </w:rPr>
        <w:t xml:space="preserve">tion for Reconsideration </w:t>
      </w:r>
      <w:r w:rsidR="00FB5725">
        <w:rPr>
          <w:rFonts w:ascii="Times New Roman" w:hAnsi="Times New Roman" w:cs="Times New Roman"/>
          <w:sz w:val="24"/>
          <w:szCs w:val="24"/>
        </w:rPr>
        <w:t>on a single issue</w:t>
      </w:r>
      <w:r w:rsidR="00FB5725" w:rsidRPr="0036725A">
        <w:rPr>
          <w:rFonts w:ascii="Times New Roman" w:hAnsi="Times New Roman" w:cs="Times New Roman"/>
          <w:sz w:val="24"/>
          <w:szCs w:val="24"/>
        </w:rPr>
        <w:t xml:space="preserve"> </w:t>
      </w:r>
      <w:r w:rsidR="00A51ED3" w:rsidRPr="0036725A">
        <w:rPr>
          <w:rFonts w:ascii="Times New Roman" w:hAnsi="Times New Roman" w:cs="Times New Roman"/>
          <w:sz w:val="24"/>
          <w:szCs w:val="24"/>
        </w:rPr>
        <w:t>with the Tax Court on July 1</w:t>
      </w:r>
      <w:r w:rsidR="00BF7027" w:rsidRPr="0036725A">
        <w:rPr>
          <w:rFonts w:ascii="Times New Roman" w:hAnsi="Times New Roman" w:cs="Times New Roman"/>
          <w:sz w:val="24"/>
          <w:szCs w:val="24"/>
        </w:rPr>
        <w:t>8</w:t>
      </w:r>
      <w:r w:rsidR="00A51ED3" w:rsidRPr="0036725A">
        <w:rPr>
          <w:rFonts w:ascii="Times New Roman" w:hAnsi="Times New Roman" w:cs="Times New Roman"/>
          <w:sz w:val="24"/>
          <w:szCs w:val="24"/>
        </w:rPr>
        <w:t>, 2018</w:t>
      </w:r>
      <w:r w:rsidR="000019EF">
        <w:rPr>
          <w:rFonts w:ascii="Times New Roman" w:hAnsi="Times New Roman" w:cs="Times New Roman"/>
          <w:sz w:val="24"/>
          <w:szCs w:val="24"/>
        </w:rPr>
        <w:t xml:space="preserve"> </w:t>
      </w:r>
      <w:r w:rsidR="00136E83">
        <w:rPr>
          <w:rFonts w:ascii="Times New Roman" w:hAnsi="Times New Roman" w:cs="Times New Roman"/>
          <w:sz w:val="24"/>
          <w:szCs w:val="24"/>
        </w:rPr>
        <w:t>(subsequently denied)</w:t>
      </w:r>
      <w:r w:rsidR="000413DF" w:rsidRPr="0036725A">
        <w:rPr>
          <w:rFonts w:ascii="Times New Roman" w:hAnsi="Times New Roman" w:cs="Times New Roman"/>
          <w:sz w:val="24"/>
          <w:szCs w:val="24"/>
        </w:rPr>
        <w:t xml:space="preserve">, which can be found </w:t>
      </w:r>
      <w:hyperlink r:id="rId9" w:history="1">
        <w:r w:rsidR="000413DF" w:rsidRPr="0036725A">
          <w:rPr>
            <w:rStyle w:val="Hyperlink"/>
            <w:rFonts w:ascii="Times New Roman" w:hAnsi="Times New Roman" w:cs="Times New Roman"/>
            <w:sz w:val="24"/>
            <w:szCs w:val="24"/>
          </w:rPr>
          <w:t>here</w:t>
        </w:r>
      </w:hyperlink>
      <w:r w:rsidR="000413DF" w:rsidRPr="0036725A">
        <w:rPr>
          <w:rFonts w:ascii="Times New Roman" w:hAnsi="Times New Roman" w:cs="Times New Roman"/>
          <w:sz w:val="24"/>
          <w:szCs w:val="24"/>
        </w:rPr>
        <w:t>.</w:t>
      </w:r>
      <w:r w:rsidR="0097214D">
        <w:rPr>
          <w:rFonts w:ascii="Times New Roman" w:hAnsi="Times New Roman" w:cs="Times New Roman"/>
          <w:sz w:val="24"/>
          <w:szCs w:val="24"/>
        </w:rPr>
        <w:t xml:space="preserve">  The final </w:t>
      </w:r>
      <w:r w:rsidR="00C04B77">
        <w:rPr>
          <w:rFonts w:ascii="Times New Roman" w:hAnsi="Times New Roman" w:cs="Times New Roman"/>
          <w:sz w:val="24"/>
          <w:szCs w:val="24"/>
        </w:rPr>
        <w:t>decision</w:t>
      </w:r>
      <w:r w:rsidR="0097214D">
        <w:rPr>
          <w:rFonts w:ascii="Times New Roman" w:hAnsi="Times New Roman" w:cs="Times New Roman"/>
          <w:sz w:val="24"/>
          <w:szCs w:val="24"/>
        </w:rPr>
        <w:t xml:space="preserve"> in the case was entered on September 28, 2018 which can be found </w:t>
      </w:r>
      <w:hyperlink r:id="rId10" w:history="1">
        <w:r w:rsidR="0097214D" w:rsidRPr="00B72B1C">
          <w:rPr>
            <w:rStyle w:val="Hyperlink"/>
            <w:rFonts w:ascii="Times New Roman" w:hAnsi="Times New Roman" w:cs="Times New Roman"/>
            <w:sz w:val="24"/>
            <w:szCs w:val="24"/>
          </w:rPr>
          <w:t>here</w:t>
        </w:r>
      </w:hyperlink>
      <w:r w:rsidR="0097214D">
        <w:rPr>
          <w:rFonts w:ascii="Times New Roman" w:hAnsi="Times New Roman" w:cs="Times New Roman"/>
          <w:sz w:val="24"/>
          <w:szCs w:val="24"/>
        </w:rPr>
        <w:t>.</w:t>
      </w:r>
    </w:p>
    <w:p w14:paraId="1E75DD5C" w14:textId="77777777" w:rsidR="00364083" w:rsidRPr="0036725A" w:rsidRDefault="00364083" w:rsidP="00364083">
      <w:pPr>
        <w:spacing w:after="0" w:line="240" w:lineRule="auto"/>
        <w:rPr>
          <w:rFonts w:ascii="Times New Roman" w:hAnsi="Times New Roman" w:cs="Times New Roman"/>
          <w:sz w:val="24"/>
          <w:szCs w:val="24"/>
        </w:rPr>
      </w:pPr>
    </w:p>
    <w:p w14:paraId="2AB9DEDA" w14:textId="77777777" w:rsidR="00364083" w:rsidRPr="0036725A" w:rsidRDefault="00364083" w:rsidP="00364083">
      <w:pPr>
        <w:spacing w:after="0" w:line="240" w:lineRule="auto"/>
        <w:rPr>
          <w:rFonts w:ascii="Times New Roman" w:hAnsi="Times New Roman" w:cs="Times New Roman"/>
          <w:sz w:val="24"/>
          <w:szCs w:val="24"/>
        </w:rPr>
      </w:pPr>
      <w:r w:rsidRPr="0036725A">
        <w:rPr>
          <w:rFonts w:ascii="Times New Roman" w:hAnsi="Times New Roman" w:cs="Times New Roman"/>
          <w:sz w:val="24"/>
          <w:szCs w:val="24"/>
        </w:rPr>
        <w:t xml:space="preserve">Capstone’s </w:t>
      </w:r>
      <w:r w:rsidR="00057CEB" w:rsidRPr="0036725A">
        <w:rPr>
          <w:rFonts w:ascii="Times New Roman" w:hAnsi="Times New Roman" w:cs="Times New Roman"/>
          <w:sz w:val="24"/>
          <w:szCs w:val="24"/>
        </w:rPr>
        <w:t>initial state</w:t>
      </w:r>
      <w:r w:rsidR="007709DB" w:rsidRPr="0036725A">
        <w:rPr>
          <w:rFonts w:ascii="Times New Roman" w:hAnsi="Times New Roman" w:cs="Times New Roman"/>
          <w:sz w:val="24"/>
          <w:szCs w:val="24"/>
        </w:rPr>
        <w:t>ment and two previous</w:t>
      </w:r>
      <w:r w:rsidR="00B7532E" w:rsidRPr="0036725A">
        <w:rPr>
          <w:rFonts w:ascii="Times New Roman" w:hAnsi="Times New Roman" w:cs="Times New Roman"/>
          <w:sz w:val="24"/>
          <w:szCs w:val="24"/>
        </w:rPr>
        <w:t xml:space="preserve"> </w:t>
      </w:r>
      <w:r w:rsidRPr="0036725A">
        <w:rPr>
          <w:rFonts w:ascii="Times New Roman" w:hAnsi="Times New Roman" w:cs="Times New Roman"/>
          <w:sz w:val="24"/>
          <w:szCs w:val="24"/>
        </w:rPr>
        <w:t>commentar</w:t>
      </w:r>
      <w:r w:rsidR="007709DB" w:rsidRPr="0036725A">
        <w:rPr>
          <w:rFonts w:ascii="Times New Roman" w:hAnsi="Times New Roman" w:cs="Times New Roman"/>
          <w:sz w:val="24"/>
          <w:szCs w:val="24"/>
        </w:rPr>
        <w:t>ies</w:t>
      </w:r>
      <w:r w:rsidRPr="0036725A">
        <w:rPr>
          <w:rFonts w:ascii="Times New Roman" w:hAnsi="Times New Roman" w:cs="Times New Roman"/>
          <w:sz w:val="24"/>
          <w:szCs w:val="24"/>
        </w:rPr>
        <w:t xml:space="preserve"> on the </w:t>
      </w:r>
      <w:r w:rsidR="00233897">
        <w:rPr>
          <w:rFonts w:ascii="Times New Roman" w:hAnsi="Times New Roman" w:cs="Times New Roman"/>
          <w:sz w:val="24"/>
          <w:szCs w:val="24"/>
        </w:rPr>
        <w:t>Court</w:t>
      </w:r>
      <w:r w:rsidRPr="0036725A">
        <w:rPr>
          <w:rFonts w:ascii="Times New Roman" w:hAnsi="Times New Roman" w:cs="Times New Roman"/>
          <w:sz w:val="24"/>
          <w:szCs w:val="24"/>
        </w:rPr>
        <w:t xml:space="preserve">’s Opinion can be found </w:t>
      </w:r>
      <w:hyperlink r:id="rId11" w:history="1">
        <w:r w:rsidRPr="0036725A">
          <w:rPr>
            <w:rStyle w:val="Hyperlink"/>
            <w:rFonts w:ascii="Times New Roman" w:hAnsi="Times New Roman" w:cs="Times New Roman"/>
            <w:sz w:val="24"/>
            <w:szCs w:val="24"/>
          </w:rPr>
          <w:t>here</w:t>
        </w:r>
      </w:hyperlink>
      <w:r w:rsidRPr="0036725A">
        <w:rPr>
          <w:rFonts w:ascii="Times New Roman" w:hAnsi="Times New Roman" w:cs="Times New Roman"/>
          <w:sz w:val="24"/>
          <w:szCs w:val="24"/>
        </w:rPr>
        <w:t>.</w:t>
      </w:r>
    </w:p>
    <w:p w14:paraId="37A70F29" w14:textId="77777777" w:rsidR="00364083" w:rsidRPr="0036725A" w:rsidRDefault="00364083" w:rsidP="00364083">
      <w:pPr>
        <w:spacing w:after="0" w:line="240" w:lineRule="auto"/>
        <w:rPr>
          <w:rFonts w:ascii="Times New Roman" w:hAnsi="Times New Roman" w:cs="Times New Roman"/>
          <w:sz w:val="24"/>
          <w:szCs w:val="24"/>
        </w:rPr>
      </w:pPr>
    </w:p>
    <w:p w14:paraId="1EFD7A0E" w14:textId="4EF0A85B" w:rsidR="00830DE4" w:rsidRPr="0036725A" w:rsidRDefault="00830DE4" w:rsidP="00830DE4">
      <w:pPr>
        <w:spacing w:after="0" w:line="240" w:lineRule="auto"/>
        <w:rPr>
          <w:rFonts w:ascii="Times New Roman" w:hAnsi="Times New Roman" w:cs="Times New Roman"/>
          <w:b/>
          <w:sz w:val="24"/>
          <w:szCs w:val="24"/>
        </w:rPr>
      </w:pPr>
      <w:r w:rsidRPr="0036725A">
        <w:rPr>
          <w:rFonts w:ascii="Times New Roman" w:hAnsi="Times New Roman" w:cs="Times New Roman"/>
          <w:b/>
          <w:sz w:val="24"/>
          <w:szCs w:val="24"/>
        </w:rPr>
        <w:t>Background on Business</w:t>
      </w:r>
      <w:r w:rsidR="00703FB3" w:rsidRPr="0036725A">
        <w:rPr>
          <w:rFonts w:ascii="Times New Roman" w:hAnsi="Times New Roman" w:cs="Times New Roman"/>
          <w:b/>
          <w:sz w:val="24"/>
          <w:szCs w:val="24"/>
        </w:rPr>
        <w:t xml:space="preserve"> Operations of</w:t>
      </w:r>
      <w:r w:rsidRPr="0036725A">
        <w:rPr>
          <w:rFonts w:ascii="Times New Roman" w:hAnsi="Times New Roman" w:cs="Times New Roman"/>
          <w:b/>
          <w:sz w:val="24"/>
          <w:szCs w:val="24"/>
        </w:rPr>
        <w:t xml:space="preserve"> Reserve’s Insureds</w:t>
      </w:r>
    </w:p>
    <w:p w14:paraId="7D401C9C" w14:textId="77777777" w:rsidR="00830DE4" w:rsidRPr="0036725A" w:rsidRDefault="00830DE4" w:rsidP="00830DE4">
      <w:pPr>
        <w:spacing w:after="0" w:line="240" w:lineRule="auto"/>
        <w:rPr>
          <w:rFonts w:ascii="Times New Roman" w:hAnsi="Times New Roman" w:cs="Times New Roman"/>
          <w:sz w:val="24"/>
          <w:szCs w:val="24"/>
        </w:rPr>
      </w:pPr>
    </w:p>
    <w:p w14:paraId="1F968F59" w14:textId="46E612C3" w:rsidR="00250577" w:rsidRDefault="00AF0989" w:rsidP="00830D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6444AE">
        <w:rPr>
          <w:rFonts w:ascii="Times New Roman" w:hAnsi="Times New Roman" w:cs="Times New Roman"/>
          <w:sz w:val="24"/>
          <w:szCs w:val="24"/>
        </w:rPr>
        <w:t>C</w:t>
      </w:r>
      <w:r>
        <w:rPr>
          <w:rFonts w:ascii="Times New Roman" w:hAnsi="Times New Roman" w:cs="Times New Roman"/>
          <w:sz w:val="24"/>
          <w:szCs w:val="24"/>
        </w:rPr>
        <w:t xml:space="preserve">ourt heard testimony from Norman Zumbaum, the President of Reserve and an owner of the insureds as </w:t>
      </w:r>
      <w:r w:rsidR="00830DE4" w:rsidRPr="0036725A">
        <w:rPr>
          <w:rFonts w:ascii="Times New Roman" w:hAnsi="Times New Roman" w:cs="Times New Roman"/>
          <w:sz w:val="24"/>
          <w:szCs w:val="24"/>
        </w:rPr>
        <w:t>follows:  Peak Mechanical &amp; Components, Inc. (</w:t>
      </w:r>
      <w:r w:rsidR="009B0032">
        <w:rPr>
          <w:rFonts w:ascii="Times New Roman" w:hAnsi="Times New Roman" w:cs="Times New Roman"/>
          <w:sz w:val="24"/>
          <w:szCs w:val="24"/>
        </w:rPr>
        <w:t>“</w:t>
      </w:r>
      <w:r w:rsidR="00830DE4" w:rsidRPr="0036725A">
        <w:rPr>
          <w:rFonts w:ascii="Times New Roman" w:hAnsi="Times New Roman" w:cs="Times New Roman"/>
          <w:sz w:val="24"/>
          <w:szCs w:val="24"/>
        </w:rPr>
        <w:t>Peak</w:t>
      </w:r>
      <w:r w:rsidR="009B0032">
        <w:rPr>
          <w:rFonts w:ascii="Times New Roman" w:hAnsi="Times New Roman" w:cs="Times New Roman"/>
          <w:sz w:val="24"/>
          <w:szCs w:val="24"/>
        </w:rPr>
        <w:t>”</w:t>
      </w:r>
      <w:r w:rsidR="00830DE4" w:rsidRPr="0036725A">
        <w:rPr>
          <w:rFonts w:ascii="Times New Roman" w:hAnsi="Times New Roman" w:cs="Times New Roman"/>
          <w:sz w:val="24"/>
          <w:szCs w:val="24"/>
        </w:rPr>
        <w:t xml:space="preserve">) </w:t>
      </w:r>
      <w:r w:rsidR="00FE5B98">
        <w:rPr>
          <w:rFonts w:ascii="Times New Roman" w:hAnsi="Times New Roman" w:cs="Times New Roman"/>
          <w:sz w:val="24"/>
          <w:szCs w:val="24"/>
        </w:rPr>
        <w:t xml:space="preserve">of Osburn, Idaho </w:t>
      </w:r>
      <w:r w:rsidR="00830DE4" w:rsidRPr="0036725A">
        <w:rPr>
          <w:rFonts w:ascii="Times New Roman" w:hAnsi="Times New Roman" w:cs="Times New Roman"/>
          <w:sz w:val="24"/>
          <w:szCs w:val="24"/>
        </w:rPr>
        <w:t>distribut</w:t>
      </w:r>
      <w:r w:rsidR="001B08B4">
        <w:rPr>
          <w:rFonts w:ascii="Times New Roman" w:hAnsi="Times New Roman" w:cs="Times New Roman"/>
          <w:sz w:val="24"/>
          <w:szCs w:val="24"/>
        </w:rPr>
        <w:t>ed</w:t>
      </w:r>
      <w:r w:rsidR="00830DE4" w:rsidRPr="0036725A">
        <w:rPr>
          <w:rFonts w:ascii="Times New Roman" w:hAnsi="Times New Roman" w:cs="Times New Roman"/>
          <w:sz w:val="24"/>
          <w:szCs w:val="24"/>
        </w:rPr>
        <w:t>, servi</w:t>
      </w:r>
      <w:r w:rsidR="001B08B4">
        <w:rPr>
          <w:rFonts w:ascii="Times New Roman" w:hAnsi="Times New Roman" w:cs="Times New Roman"/>
          <w:sz w:val="24"/>
          <w:szCs w:val="24"/>
        </w:rPr>
        <w:t>ced,</w:t>
      </w:r>
      <w:r w:rsidR="00830DE4" w:rsidRPr="0036725A">
        <w:rPr>
          <w:rFonts w:ascii="Times New Roman" w:hAnsi="Times New Roman" w:cs="Times New Roman"/>
          <w:sz w:val="24"/>
          <w:szCs w:val="24"/>
        </w:rPr>
        <w:t xml:space="preserve"> manufactur</w:t>
      </w:r>
      <w:r w:rsidR="001B08B4">
        <w:rPr>
          <w:rFonts w:ascii="Times New Roman" w:hAnsi="Times New Roman" w:cs="Times New Roman"/>
          <w:sz w:val="24"/>
          <w:szCs w:val="24"/>
        </w:rPr>
        <w:t>ed</w:t>
      </w:r>
      <w:r w:rsidR="00830DE4" w:rsidRPr="0036725A">
        <w:rPr>
          <w:rFonts w:ascii="Times New Roman" w:hAnsi="Times New Roman" w:cs="Times New Roman"/>
          <w:sz w:val="24"/>
          <w:szCs w:val="24"/>
        </w:rPr>
        <w:t xml:space="preserve"> </w:t>
      </w:r>
      <w:r w:rsidR="00B50C6D">
        <w:rPr>
          <w:rFonts w:ascii="Times New Roman" w:hAnsi="Times New Roman" w:cs="Times New Roman"/>
          <w:sz w:val="24"/>
          <w:szCs w:val="24"/>
        </w:rPr>
        <w:t xml:space="preserve">and repaired </w:t>
      </w:r>
      <w:r w:rsidR="00830DE4" w:rsidRPr="0036725A">
        <w:rPr>
          <w:rFonts w:ascii="Times New Roman" w:hAnsi="Times New Roman" w:cs="Times New Roman"/>
          <w:sz w:val="24"/>
          <w:szCs w:val="24"/>
        </w:rPr>
        <w:t xml:space="preserve">equipment </w:t>
      </w:r>
      <w:r w:rsidR="00C1520D">
        <w:rPr>
          <w:rFonts w:ascii="Times New Roman" w:hAnsi="Times New Roman" w:cs="Times New Roman"/>
          <w:sz w:val="24"/>
          <w:szCs w:val="24"/>
        </w:rPr>
        <w:t xml:space="preserve"> </w:t>
      </w:r>
      <w:r w:rsidR="00830DE4" w:rsidRPr="0036725A">
        <w:rPr>
          <w:rFonts w:ascii="Times New Roman" w:hAnsi="Times New Roman" w:cs="Times New Roman"/>
          <w:sz w:val="24"/>
          <w:szCs w:val="24"/>
        </w:rPr>
        <w:t xml:space="preserve">used </w:t>
      </w:r>
      <w:r w:rsidR="001B08B4">
        <w:rPr>
          <w:rFonts w:ascii="Times New Roman" w:hAnsi="Times New Roman" w:cs="Times New Roman"/>
          <w:sz w:val="24"/>
          <w:szCs w:val="24"/>
        </w:rPr>
        <w:t xml:space="preserve">in </w:t>
      </w:r>
      <w:r w:rsidR="00830DE4" w:rsidRPr="00084CDD">
        <w:rPr>
          <w:rFonts w:ascii="Times New Roman" w:hAnsi="Times New Roman" w:cs="Times New Roman"/>
          <w:sz w:val="24"/>
          <w:szCs w:val="24"/>
        </w:rPr>
        <w:t xml:space="preserve">underground mining </w:t>
      </w:r>
      <w:r w:rsidR="001B08B4" w:rsidRPr="00084CDD">
        <w:rPr>
          <w:rFonts w:ascii="Times New Roman" w:hAnsi="Times New Roman" w:cs="Times New Roman"/>
          <w:sz w:val="24"/>
          <w:szCs w:val="24"/>
        </w:rPr>
        <w:t xml:space="preserve">operations, </w:t>
      </w:r>
      <w:r w:rsidR="00830DE4" w:rsidRPr="00084CDD">
        <w:rPr>
          <w:rFonts w:ascii="Times New Roman" w:hAnsi="Times New Roman" w:cs="Times New Roman"/>
          <w:sz w:val="24"/>
          <w:szCs w:val="24"/>
        </w:rPr>
        <w:t>typically 5,000 – 8,000 feet underground.</w:t>
      </w:r>
      <w:r w:rsidR="00250577">
        <w:rPr>
          <w:rStyle w:val="EndnoteReference"/>
          <w:rFonts w:ascii="Times New Roman" w:hAnsi="Times New Roman" w:cs="Times New Roman"/>
          <w:sz w:val="24"/>
          <w:szCs w:val="24"/>
        </w:rPr>
        <w:endnoteReference w:id="2"/>
      </w:r>
      <w:r w:rsidR="00250577" w:rsidRPr="00084CDD">
        <w:rPr>
          <w:rFonts w:ascii="Times New Roman" w:hAnsi="Times New Roman" w:cs="Times New Roman"/>
          <w:sz w:val="24"/>
          <w:szCs w:val="24"/>
        </w:rPr>
        <w:t xml:space="preserve">  Additionally, Peak</w:t>
      </w:r>
      <w:r w:rsidR="00250577">
        <w:rPr>
          <w:rFonts w:ascii="Times New Roman" w:hAnsi="Times New Roman" w:cs="Times New Roman"/>
          <w:sz w:val="24"/>
          <w:szCs w:val="24"/>
        </w:rPr>
        <w:t xml:space="preserve"> disassembled and rebuilt </w:t>
      </w:r>
      <w:r w:rsidR="00250577" w:rsidRPr="00084CDD">
        <w:rPr>
          <w:rFonts w:ascii="Times New Roman" w:eastAsia="Times New Roman" w:hAnsi="Times New Roman" w:cs="Times New Roman"/>
          <w:sz w:val="24"/>
          <w:szCs w:val="24"/>
        </w:rPr>
        <w:t>trucks</w:t>
      </w:r>
      <w:r w:rsidR="00250577">
        <w:rPr>
          <w:rFonts w:ascii="Times New Roman" w:eastAsia="Times New Roman" w:hAnsi="Times New Roman" w:cs="Times New Roman"/>
          <w:sz w:val="24"/>
          <w:szCs w:val="24"/>
        </w:rPr>
        <w:t>, replacing the original engine with one able to operate in deep mine shafts.</w:t>
      </w:r>
      <w:r w:rsidR="00250577">
        <w:rPr>
          <w:rStyle w:val="EndnoteReference"/>
          <w:rFonts w:ascii="Times New Roman" w:eastAsia="Times New Roman" w:hAnsi="Times New Roman" w:cs="Times New Roman"/>
          <w:color w:val="000000"/>
          <w:sz w:val="24"/>
          <w:szCs w:val="24"/>
        </w:rPr>
        <w:endnoteReference w:id="3"/>
      </w:r>
      <w:r w:rsidR="00250577">
        <w:rPr>
          <w:rFonts w:ascii="Times New Roman" w:eastAsia="Times New Roman" w:hAnsi="Times New Roman" w:cs="Times New Roman"/>
          <w:color w:val="000000"/>
          <w:sz w:val="24"/>
          <w:szCs w:val="24"/>
        </w:rPr>
        <w:t xml:space="preserve">  Peak also </w:t>
      </w:r>
      <w:r w:rsidR="00250577" w:rsidRPr="0036725A">
        <w:rPr>
          <w:rFonts w:ascii="Times New Roman" w:eastAsia="Times New Roman" w:hAnsi="Times New Roman" w:cs="Times New Roman"/>
          <w:color w:val="000000"/>
          <w:sz w:val="24"/>
          <w:szCs w:val="24"/>
        </w:rPr>
        <w:t xml:space="preserve">manufactured and repaired guide wheels for </w:t>
      </w:r>
      <w:r w:rsidR="00250577">
        <w:rPr>
          <w:rFonts w:ascii="Times New Roman" w:eastAsia="Times New Roman" w:hAnsi="Times New Roman" w:cs="Times New Roman"/>
          <w:color w:val="000000"/>
          <w:sz w:val="24"/>
          <w:szCs w:val="24"/>
        </w:rPr>
        <w:t xml:space="preserve">vertical </w:t>
      </w:r>
      <w:r w:rsidR="00250577" w:rsidRPr="0036725A">
        <w:rPr>
          <w:rFonts w:ascii="Times New Roman" w:eastAsia="Times New Roman" w:hAnsi="Times New Roman" w:cs="Times New Roman"/>
          <w:color w:val="000000"/>
          <w:sz w:val="24"/>
          <w:szCs w:val="24"/>
        </w:rPr>
        <w:t xml:space="preserve">hoist conveyances, which </w:t>
      </w:r>
      <w:r w:rsidR="00250577">
        <w:rPr>
          <w:rFonts w:ascii="Times New Roman" w:eastAsia="Times New Roman" w:hAnsi="Times New Roman" w:cs="Times New Roman"/>
          <w:color w:val="000000"/>
          <w:sz w:val="24"/>
          <w:szCs w:val="24"/>
        </w:rPr>
        <w:t>we</w:t>
      </w:r>
      <w:r w:rsidR="00250577" w:rsidRPr="0036725A">
        <w:rPr>
          <w:rFonts w:ascii="Times New Roman" w:eastAsia="Times New Roman" w:hAnsi="Times New Roman" w:cs="Times New Roman"/>
          <w:color w:val="000000"/>
          <w:sz w:val="24"/>
          <w:szCs w:val="24"/>
        </w:rPr>
        <w:t xml:space="preserve">re used to transport workers and materials </w:t>
      </w:r>
      <w:r w:rsidR="00250577">
        <w:rPr>
          <w:rFonts w:ascii="Times New Roman" w:eastAsia="Times New Roman" w:hAnsi="Times New Roman" w:cs="Times New Roman"/>
          <w:color w:val="000000"/>
          <w:sz w:val="24"/>
          <w:szCs w:val="24"/>
        </w:rPr>
        <w:t xml:space="preserve">thousands of feet down into </w:t>
      </w:r>
      <w:r w:rsidR="00250577" w:rsidRPr="0036725A">
        <w:rPr>
          <w:rFonts w:ascii="Times New Roman" w:eastAsia="Times New Roman" w:hAnsi="Times New Roman" w:cs="Times New Roman"/>
          <w:color w:val="000000"/>
          <w:sz w:val="24"/>
          <w:szCs w:val="24"/>
        </w:rPr>
        <w:t>mine</w:t>
      </w:r>
      <w:r w:rsidR="00250577">
        <w:rPr>
          <w:rFonts w:ascii="Times New Roman" w:eastAsia="Times New Roman" w:hAnsi="Times New Roman" w:cs="Times New Roman"/>
          <w:color w:val="000000"/>
          <w:sz w:val="24"/>
          <w:szCs w:val="24"/>
        </w:rPr>
        <w:t>s</w:t>
      </w:r>
      <w:r w:rsidR="00250577" w:rsidRPr="0036725A">
        <w:rPr>
          <w:rFonts w:ascii="Times New Roman" w:eastAsia="Times New Roman" w:hAnsi="Times New Roman" w:cs="Times New Roman"/>
          <w:color w:val="000000"/>
          <w:sz w:val="24"/>
          <w:szCs w:val="24"/>
        </w:rPr>
        <w:t>.</w:t>
      </w:r>
      <w:r w:rsidR="00250577">
        <w:rPr>
          <w:rStyle w:val="EndnoteReference"/>
          <w:rFonts w:ascii="Times New Roman" w:eastAsia="Times New Roman" w:hAnsi="Times New Roman" w:cs="Times New Roman"/>
          <w:color w:val="000000"/>
          <w:sz w:val="24"/>
          <w:szCs w:val="24"/>
        </w:rPr>
        <w:endnoteReference w:id="4"/>
      </w:r>
      <w:r w:rsidR="00250577" w:rsidRPr="0036725A">
        <w:rPr>
          <w:rFonts w:ascii="Times New Roman" w:eastAsia="Times New Roman" w:hAnsi="Times New Roman" w:cs="Times New Roman"/>
          <w:color w:val="000000"/>
          <w:sz w:val="24"/>
          <w:szCs w:val="24"/>
        </w:rPr>
        <w:t xml:space="preserve"> </w:t>
      </w:r>
      <w:r w:rsidR="00250577">
        <w:rPr>
          <w:rFonts w:ascii="Times New Roman" w:hAnsi="Times New Roman" w:cs="Times New Roman"/>
          <w:sz w:val="24"/>
          <w:szCs w:val="24"/>
        </w:rPr>
        <w:t xml:space="preserve"> </w:t>
      </w:r>
    </w:p>
    <w:p w14:paraId="6E061AC7" w14:textId="77777777" w:rsidR="00250577" w:rsidRDefault="00250577" w:rsidP="00830DE4">
      <w:pPr>
        <w:spacing w:after="0" w:line="240" w:lineRule="auto"/>
        <w:rPr>
          <w:rFonts w:ascii="Times New Roman" w:hAnsi="Times New Roman" w:cs="Times New Roman"/>
          <w:sz w:val="24"/>
          <w:szCs w:val="24"/>
        </w:rPr>
      </w:pPr>
    </w:p>
    <w:p w14:paraId="7B3E2F23" w14:textId="49624F18" w:rsidR="00250577" w:rsidRPr="007570C9" w:rsidRDefault="00250577" w:rsidP="00681B6C">
      <w:pPr>
        <w:spacing w:after="0" w:line="240" w:lineRule="auto"/>
        <w:rPr>
          <w:rFonts w:ascii="Times New Roman" w:hAnsi="Times New Roman" w:cs="Times New Roman"/>
          <w:sz w:val="24"/>
          <w:szCs w:val="24"/>
        </w:rPr>
      </w:pPr>
      <w:r w:rsidRPr="0036725A">
        <w:rPr>
          <w:rFonts w:ascii="Times New Roman" w:hAnsi="Times New Roman" w:cs="Times New Roman"/>
          <w:sz w:val="24"/>
          <w:szCs w:val="24"/>
        </w:rPr>
        <w:t xml:space="preserve">Peak’s </w:t>
      </w:r>
      <w:r>
        <w:rPr>
          <w:rFonts w:ascii="Times New Roman" w:hAnsi="Times New Roman" w:cs="Times New Roman"/>
          <w:sz w:val="24"/>
          <w:szCs w:val="24"/>
        </w:rPr>
        <w:t xml:space="preserve">Idaho offices and manufacturing </w:t>
      </w:r>
      <w:r w:rsidRPr="0036725A">
        <w:rPr>
          <w:rFonts w:ascii="Times New Roman" w:hAnsi="Times New Roman" w:cs="Times New Roman"/>
          <w:sz w:val="24"/>
          <w:szCs w:val="24"/>
        </w:rPr>
        <w:t>facilities</w:t>
      </w:r>
      <w:r>
        <w:rPr>
          <w:rFonts w:ascii="Times New Roman" w:hAnsi="Times New Roman" w:cs="Times New Roman"/>
          <w:sz w:val="24"/>
          <w:szCs w:val="24"/>
        </w:rPr>
        <w:t xml:space="preserve"> are </w:t>
      </w:r>
      <w:r w:rsidRPr="0036725A">
        <w:rPr>
          <w:rFonts w:ascii="Times New Roman" w:hAnsi="Times New Roman" w:cs="Times New Roman"/>
          <w:sz w:val="24"/>
          <w:szCs w:val="24"/>
        </w:rPr>
        <w:t xml:space="preserve">physically within the Bunker Hill Mining &amp; Metallurgical Complex, a “Superfund Site” designated as such by the U.S. Environmental Protection Agency (EPA) </w:t>
      </w:r>
      <w:r w:rsidRPr="0036725A">
        <w:rPr>
          <w:rFonts w:ascii="Times New Roman" w:eastAsia="Times New Roman" w:hAnsi="Times New Roman" w:cs="Times New Roman"/>
          <w:color w:val="000000"/>
          <w:sz w:val="24"/>
          <w:szCs w:val="24"/>
        </w:rPr>
        <w:t>(the “Bunker Hill Superfund Site”).</w:t>
      </w:r>
      <w:r>
        <w:rPr>
          <w:rStyle w:val="EndnoteReference"/>
          <w:rFonts w:ascii="Times New Roman" w:eastAsia="Times New Roman" w:hAnsi="Times New Roman" w:cs="Times New Roman"/>
          <w:color w:val="000000"/>
          <w:sz w:val="24"/>
          <w:szCs w:val="24"/>
        </w:rPr>
        <w:endnoteReference w:id="5"/>
      </w:r>
      <w:r>
        <w:rPr>
          <w:rFonts w:ascii="Times New Roman" w:hAnsi="Times New Roman" w:cs="Times New Roman"/>
          <w:sz w:val="24"/>
          <w:szCs w:val="24"/>
        </w:rPr>
        <w:t xml:space="preserve">  A</w:t>
      </w:r>
      <w:r w:rsidRPr="0036725A">
        <w:rPr>
          <w:rFonts w:ascii="Times New Roman" w:hAnsi="Times New Roman" w:cs="Times New Roman"/>
          <w:sz w:val="24"/>
          <w:szCs w:val="24"/>
        </w:rPr>
        <w:t xml:space="preserve">s part of its business, Peak </w:t>
      </w:r>
      <w:r>
        <w:rPr>
          <w:rFonts w:ascii="Times New Roman" w:hAnsi="Times New Roman" w:cs="Times New Roman"/>
          <w:sz w:val="24"/>
          <w:szCs w:val="24"/>
        </w:rPr>
        <w:t xml:space="preserve">rehabbed and </w:t>
      </w:r>
      <w:r w:rsidRPr="0036725A">
        <w:rPr>
          <w:rFonts w:ascii="Times New Roman" w:hAnsi="Times New Roman" w:cs="Times New Roman"/>
          <w:sz w:val="24"/>
          <w:szCs w:val="24"/>
        </w:rPr>
        <w:t xml:space="preserve">cleaned </w:t>
      </w:r>
      <w:r>
        <w:rPr>
          <w:rFonts w:ascii="Times New Roman" w:hAnsi="Times New Roman" w:cs="Times New Roman"/>
          <w:sz w:val="24"/>
          <w:szCs w:val="24"/>
        </w:rPr>
        <w:t>contaminated mining equipment at its Osburn, Idaho facilities</w:t>
      </w:r>
      <w:r>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and worked in contaminated mines. </w:t>
      </w:r>
      <w:r w:rsidRPr="0036725A">
        <w:rPr>
          <w:rFonts w:ascii="Times New Roman" w:hAnsi="Times New Roman" w:cs="Times New Roman"/>
          <w:sz w:val="24"/>
          <w:szCs w:val="24"/>
        </w:rPr>
        <w:t>The Bunker Hill Superfund Site</w:t>
      </w:r>
      <w:r>
        <w:rPr>
          <w:rFonts w:ascii="Times New Roman" w:hAnsi="Times New Roman" w:cs="Times New Roman"/>
          <w:sz w:val="24"/>
          <w:szCs w:val="24"/>
        </w:rPr>
        <w:t xml:space="preserve"> has ongoing cleanup activities which are expected to continue for 50 to 60 years.</w:t>
      </w:r>
      <w:r>
        <w:rPr>
          <w:rStyle w:val="EndnoteReference"/>
          <w:rFonts w:ascii="Times New Roman" w:hAnsi="Times New Roman" w:cs="Times New Roman"/>
          <w:sz w:val="24"/>
          <w:szCs w:val="24"/>
        </w:rPr>
        <w:endnoteReference w:id="7"/>
      </w:r>
      <w:r>
        <w:rPr>
          <w:rFonts w:ascii="Times New Roman" w:hAnsi="Times New Roman" w:cs="Times New Roman"/>
          <w:sz w:val="24"/>
          <w:szCs w:val="24"/>
        </w:rPr>
        <w:t xml:space="preserve">  As such, the Bunker </w:t>
      </w:r>
      <w:r w:rsidRPr="007570C9">
        <w:rPr>
          <w:rFonts w:ascii="Times New Roman" w:hAnsi="Times New Roman" w:cs="Times New Roman"/>
          <w:sz w:val="24"/>
          <w:szCs w:val="24"/>
        </w:rPr>
        <w:t xml:space="preserve">Hill Superfund Site </w:t>
      </w:r>
      <w:r>
        <w:rPr>
          <w:rFonts w:ascii="Times New Roman" w:hAnsi="Times New Roman" w:cs="Times New Roman"/>
          <w:sz w:val="24"/>
          <w:szCs w:val="24"/>
        </w:rPr>
        <w:t xml:space="preserve">(that is, Peak’s </w:t>
      </w:r>
      <w:r>
        <w:rPr>
          <w:rFonts w:ascii="Times New Roman" w:hAnsi="Times New Roman" w:cs="Times New Roman"/>
          <w:sz w:val="24"/>
          <w:szCs w:val="24"/>
        </w:rPr>
        <w:lastRenderedPageBreak/>
        <w:t xml:space="preserve">facilities) </w:t>
      </w:r>
      <w:r w:rsidRPr="007570C9">
        <w:rPr>
          <w:rFonts w:ascii="Times New Roman" w:hAnsi="Times New Roman" w:cs="Times New Roman"/>
          <w:sz w:val="24"/>
          <w:szCs w:val="24"/>
        </w:rPr>
        <w:t xml:space="preserve">is subject to continuous regulation </w:t>
      </w:r>
      <w:r>
        <w:rPr>
          <w:rFonts w:ascii="Times New Roman" w:hAnsi="Times New Roman" w:cs="Times New Roman"/>
          <w:sz w:val="24"/>
          <w:szCs w:val="24"/>
        </w:rPr>
        <w:t xml:space="preserve">because </w:t>
      </w:r>
      <w:r w:rsidRPr="007570C9">
        <w:rPr>
          <w:rFonts w:ascii="Times New Roman" w:hAnsi="Times New Roman" w:cs="Times New Roman"/>
          <w:sz w:val="24"/>
          <w:szCs w:val="24"/>
        </w:rPr>
        <w:t>it is polluted with heavy metals as a result of historic mining practices.</w:t>
      </w:r>
      <w:r w:rsidRPr="007570C9">
        <w:rPr>
          <w:rStyle w:val="EndnoteReference"/>
          <w:rFonts w:ascii="Times New Roman" w:hAnsi="Times New Roman" w:cs="Times New Roman"/>
          <w:sz w:val="24"/>
          <w:szCs w:val="24"/>
        </w:rPr>
        <w:endnoteReference w:id="8"/>
      </w:r>
      <w:r w:rsidRPr="007570C9">
        <w:rPr>
          <w:rFonts w:ascii="Times New Roman" w:hAnsi="Times New Roman" w:cs="Times New Roman"/>
          <w:sz w:val="24"/>
          <w:szCs w:val="24"/>
        </w:rPr>
        <w:t xml:space="preserve">  </w:t>
      </w:r>
      <w:r>
        <w:rPr>
          <w:rFonts w:ascii="Times New Roman" w:hAnsi="Times New Roman" w:cs="Times New Roman"/>
          <w:sz w:val="24"/>
          <w:szCs w:val="24"/>
        </w:rPr>
        <w:t xml:space="preserve">Peak’s facilities are </w:t>
      </w:r>
      <w:r w:rsidRPr="007570C9">
        <w:rPr>
          <w:rFonts w:ascii="Times New Roman" w:hAnsi="Times New Roman" w:cs="Times New Roman"/>
          <w:sz w:val="24"/>
          <w:szCs w:val="24"/>
        </w:rPr>
        <w:t>subject to ongoing EPA oversight and regulation.</w:t>
      </w:r>
      <w:r w:rsidRPr="007570C9">
        <w:rPr>
          <w:rStyle w:val="EndnoteReference"/>
          <w:rFonts w:ascii="Times New Roman" w:hAnsi="Times New Roman" w:cs="Times New Roman"/>
          <w:sz w:val="24"/>
          <w:szCs w:val="24"/>
        </w:rPr>
        <w:endnoteReference w:id="9"/>
      </w:r>
    </w:p>
    <w:p w14:paraId="1BA352D2" w14:textId="77777777" w:rsidR="00250577" w:rsidRPr="007570C9" w:rsidRDefault="00250577" w:rsidP="00681B6C">
      <w:pPr>
        <w:spacing w:after="0" w:line="240" w:lineRule="auto"/>
        <w:rPr>
          <w:rFonts w:ascii="Times New Roman" w:hAnsi="Times New Roman" w:cs="Times New Roman"/>
          <w:sz w:val="24"/>
          <w:szCs w:val="24"/>
        </w:rPr>
      </w:pPr>
    </w:p>
    <w:p w14:paraId="79981EC0" w14:textId="23E41FA1" w:rsidR="00250577" w:rsidRDefault="00250577" w:rsidP="003D2DB1">
      <w:pPr>
        <w:spacing w:after="0" w:line="240" w:lineRule="auto"/>
        <w:rPr>
          <w:rFonts w:ascii="Times New Roman" w:hAnsi="Times New Roman" w:cs="Times New Roman"/>
          <w:sz w:val="24"/>
          <w:szCs w:val="24"/>
        </w:rPr>
      </w:pPr>
      <w:r>
        <w:rPr>
          <w:rFonts w:ascii="Times New Roman" w:hAnsi="Times New Roman" w:cs="Times New Roman"/>
          <w:sz w:val="24"/>
          <w:szCs w:val="24"/>
        </w:rPr>
        <w:t>Peak’s facilities (</w:t>
      </w:r>
      <w:r w:rsidRPr="008F259F">
        <w:rPr>
          <w:rFonts w:ascii="Times New Roman" w:hAnsi="Times New Roman" w:cs="Times New Roman"/>
          <w:sz w:val="24"/>
          <w:szCs w:val="24"/>
        </w:rPr>
        <w:t>land and building</w:t>
      </w:r>
      <w:r>
        <w:rPr>
          <w:rFonts w:ascii="Times New Roman" w:hAnsi="Times New Roman" w:cs="Times New Roman"/>
          <w:sz w:val="24"/>
          <w:szCs w:val="24"/>
        </w:rPr>
        <w:t xml:space="preserve">s) are </w:t>
      </w:r>
      <w:r w:rsidRPr="008F259F">
        <w:rPr>
          <w:rFonts w:ascii="Times New Roman" w:hAnsi="Times New Roman" w:cs="Times New Roman"/>
          <w:sz w:val="24"/>
          <w:szCs w:val="24"/>
        </w:rPr>
        <w:t xml:space="preserve">owned by </w:t>
      </w:r>
      <w:r>
        <w:rPr>
          <w:rFonts w:ascii="Times New Roman" w:hAnsi="Times New Roman" w:cs="Times New Roman"/>
          <w:sz w:val="24"/>
          <w:szCs w:val="24"/>
        </w:rPr>
        <w:t xml:space="preserve">RocQuest, </w:t>
      </w:r>
      <w:r w:rsidRPr="008F259F">
        <w:rPr>
          <w:rFonts w:ascii="Times New Roman" w:hAnsi="Times New Roman" w:cs="Times New Roman"/>
          <w:sz w:val="24"/>
          <w:szCs w:val="24"/>
        </w:rPr>
        <w:t xml:space="preserve">one of </w:t>
      </w:r>
      <w:r>
        <w:rPr>
          <w:rFonts w:ascii="Times New Roman" w:hAnsi="Times New Roman" w:cs="Times New Roman"/>
          <w:sz w:val="24"/>
          <w:szCs w:val="24"/>
        </w:rPr>
        <w:t xml:space="preserve">Reserve’s </w:t>
      </w:r>
      <w:r w:rsidRPr="008F259F">
        <w:rPr>
          <w:rFonts w:ascii="Times New Roman" w:hAnsi="Times New Roman" w:cs="Times New Roman"/>
          <w:sz w:val="24"/>
          <w:szCs w:val="24"/>
        </w:rPr>
        <w:t>insureds and leased to Peak.</w:t>
      </w:r>
      <w:r w:rsidRPr="008F259F">
        <w:rPr>
          <w:rStyle w:val="EndnoteReference"/>
          <w:rFonts w:ascii="Times New Roman" w:hAnsi="Times New Roman" w:cs="Times New Roman"/>
          <w:sz w:val="24"/>
          <w:szCs w:val="24"/>
        </w:rPr>
        <w:endnoteReference w:id="10"/>
      </w:r>
      <w:r w:rsidRPr="008F259F">
        <w:rPr>
          <w:rFonts w:ascii="Times New Roman" w:hAnsi="Times New Roman" w:cs="Times New Roman"/>
          <w:sz w:val="24"/>
          <w:szCs w:val="24"/>
        </w:rPr>
        <w:t xml:space="preserve">  Under the “Superfund” statute (enacted </w:t>
      </w:r>
      <w:r>
        <w:rPr>
          <w:rFonts w:ascii="Times New Roman" w:hAnsi="Times New Roman" w:cs="Times New Roman"/>
          <w:sz w:val="24"/>
          <w:szCs w:val="24"/>
        </w:rPr>
        <w:t>as the Comprehensive Environmental Response, Compensation, and Liability Act (</w:t>
      </w:r>
      <w:r w:rsidRPr="008F259F">
        <w:rPr>
          <w:rFonts w:ascii="Times New Roman" w:hAnsi="Times New Roman" w:cs="Times New Roman"/>
          <w:sz w:val="24"/>
          <w:szCs w:val="24"/>
        </w:rPr>
        <w:t>“CERCLA”</w:t>
      </w:r>
      <w:r>
        <w:rPr>
          <w:rFonts w:ascii="Times New Roman" w:hAnsi="Times New Roman" w:cs="Times New Roman"/>
          <w:sz w:val="24"/>
          <w:szCs w:val="24"/>
        </w:rPr>
        <w:t>)</w:t>
      </w:r>
      <w:r w:rsidRPr="008F259F">
        <w:rPr>
          <w:rFonts w:ascii="Times New Roman" w:hAnsi="Times New Roman" w:cs="Times New Roman"/>
          <w:sz w:val="24"/>
          <w:szCs w:val="24"/>
        </w:rPr>
        <w:t xml:space="preserve"> in 1980),</w:t>
      </w:r>
      <w:r w:rsidRPr="008F259F">
        <w:rPr>
          <w:rStyle w:val="EndnoteReference"/>
          <w:rFonts w:ascii="Times New Roman" w:hAnsi="Times New Roman" w:cs="Times New Roman"/>
          <w:sz w:val="24"/>
          <w:szCs w:val="24"/>
        </w:rPr>
        <w:endnoteReference w:id="11"/>
      </w:r>
      <w:r w:rsidRPr="008F259F">
        <w:rPr>
          <w:rFonts w:ascii="Times New Roman" w:hAnsi="Times New Roman" w:cs="Times New Roman"/>
          <w:sz w:val="24"/>
          <w:szCs w:val="24"/>
        </w:rPr>
        <w:t xml:space="preserve"> discussed further below, the EPA </w:t>
      </w:r>
      <w:r w:rsidRPr="00051BB7">
        <w:rPr>
          <w:rFonts w:ascii="Times New Roman" w:hAnsi="Times New Roman" w:cs="Times New Roman"/>
          <w:sz w:val="24"/>
          <w:szCs w:val="24"/>
        </w:rPr>
        <w:t>is empowered to</w:t>
      </w:r>
      <w:r>
        <w:rPr>
          <w:rFonts w:ascii="Times New Roman" w:hAnsi="Times New Roman" w:cs="Times New Roman"/>
          <w:sz w:val="24"/>
          <w:szCs w:val="24"/>
        </w:rPr>
        <w:t xml:space="preserve"> </w:t>
      </w:r>
      <w:r w:rsidRPr="008F259F">
        <w:rPr>
          <w:rFonts w:ascii="Times New Roman" w:hAnsi="Times New Roman" w:cs="Times New Roman"/>
          <w:sz w:val="24"/>
          <w:szCs w:val="24"/>
        </w:rPr>
        <w:t>identify parties responsible for hazardous substances that are released into the environment (by polluters) and either compel them to clean up the sites, or it may undertake the cleanup</w:t>
      </w:r>
      <w:r w:rsidRPr="00A859F6">
        <w:rPr>
          <w:rFonts w:ascii="Times New Roman" w:hAnsi="Times New Roman" w:cs="Times New Roman"/>
          <w:sz w:val="24"/>
          <w:szCs w:val="24"/>
        </w:rPr>
        <w:t xml:space="preserve"> on its own using the Superfund (a trust fund) and recover </w:t>
      </w:r>
      <w:r>
        <w:rPr>
          <w:rFonts w:ascii="Times New Roman" w:hAnsi="Times New Roman" w:cs="Times New Roman"/>
          <w:sz w:val="24"/>
          <w:szCs w:val="24"/>
        </w:rPr>
        <w:t xml:space="preserve">its costs </w:t>
      </w:r>
      <w:r w:rsidRPr="00A859F6">
        <w:rPr>
          <w:rFonts w:ascii="Times New Roman" w:hAnsi="Times New Roman" w:cs="Times New Roman"/>
          <w:sz w:val="24"/>
          <w:szCs w:val="24"/>
        </w:rPr>
        <w:t>from polluters by referring responsible parties to the U.S. Department of Justice.</w:t>
      </w:r>
    </w:p>
    <w:p w14:paraId="715C771B" w14:textId="035232EF" w:rsidR="00250577" w:rsidRDefault="00250577" w:rsidP="003D2DB1">
      <w:pPr>
        <w:spacing w:after="0" w:line="240" w:lineRule="auto"/>
        <w:rPr>
          <w:rFonts w:ascii="Times New Roman" w:hAnsi="Times New Roman" w:cs="Times New Roman"/>
          <w:sz w:val="24"/>
          <w:szCs w:val="24"/>
        </w:rPr>
      </w:pPr>
    </w:p>
    <w:p w14:paraId="48648A68" w14:textId="17942672" w:rsidR="00250577" w:rsidRDefault="00250577" w:rsidP="00297D16">
      <w:pPr>
        <w:spacing w:after="0" w:line="240" w:lineRule="auto"/>
        <w:rPr>
          <w:rFonts w:ascii="Times New Roman" w:eastAsia="Times New Roman" w:hAnsi="Times New Roman" w:cs="Times New Roman"/>
          <w:color w:val="000000"/>
          <w:sz w:val="24"/>
          <w:szCs w:val="24"/>
        </w:rPr>
      </w:pPr>
      <w:r w:rsidRPr="0036725A">
        <w:rPr>
          <w:rFonts w:ascii="Times New Roman" w:eastAsia="Times New Roman" w:hAnsi="Times New Roman" w:cs="Times New Roman"/>
          <w:color w:val="000000"/>
          <w:sz w:val="24"/>
          <w:szCs w:val="24"/>
        </w:rPr>
        <w:t>During the tax years in issue</w:t>
      </w:r>
      <w:r>
        <w:rPr>
          <w:rFonts w:ascii="Times New Roman" w:eastAsia="Times New Roman" w:hAnsi="Times New Roman" w:cs="Times New Roman"/>
          <w:color w:val="000000"/>
          <w:sz w:val="24"/>
          <w:szCs w:val="24"/>
        </w:rPr>
        <w:t xml:space="preserve"> (2008</w:t>
      </w:r>
      <w:r w:rsidR="005E775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E775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2010)</w:t>
      </w:r>
      <w:r w:rsidRPr="0036725A">
        <w:rPr>
          <w:rFonts w:ascii="Times New Roman" w:eastAsia="Times New Roman" w:hAnsi="Times New Roman" w:cs="Times New Roman"/>
          <w:color w:val="000000"/>
          <w:sz w:val="24"/>
          <w:szCs w:val="24"/>
        </w:rPr>
        <w:t>, Peak’s equipment was used in mines in Idaho, Nevada, Washington</w:t>
      </w:r>
      <w:r>
        <w:rPr>
          <w:rFonts w:ascii="Times New Roman" w:eastAsia="Times New Roman" w:hAnsi="Times New Roman" w:cs="Times New Roman"/>
          <w:color w:val="000000"/>
          <w:sz w:val="24"/>
          <w:szCs w:val="24"/>
        </w:rPr>
        <w:t xml:space="preserve"> State and internationally</w:t>
      </w:r>
      <w:r w:rsidR="001A10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as far away as Australia.  Included among Peak’s </w:t>
      </w:r>
      <w:r w:rsidRPr="0036725A">
        <w:rPr>
          <w:rFonts w:ascii="Times New Roman" w:eastAsia="Times New Roman" w:hAnsi="Times New Roman" w:cs="Times New Roman"/>
          <w:color w:val="000000"/>
          <w:sz w:val="24"/>
          <w:szCs w:val="24"/>
        </w:rPr>
        <w:t xml:space="preserve">manufactured and serviced </w:t>
      </w:r>
      <w:r>
        <w:rPr>
          <w:rFonts w:ascii="Times New Roman" w:eastAsia="Times New Roman" w:hAnsi="Times New Roman" w:cs="Times New Roman"/>
          <w:color w:val="000000"/>
          <w:sz w:val="24"/>
          <w:szCs w:val="24"/>
        </w:rPr>
        <w:t xml:space="preserve">products is a </w:t>
      </w:r>
      <w:r w:rsidRPr="0036725A">
        <w:rPr>
          <w:rFonts w:ascii="Times New Roman" w:eastAsia="Times New Roman" w:hAnsi="Times New Roman" w:cs="Times New Roman"/>
          <w:color w:val="000000"/>
          <w:sz w:val="24"/>
          <w:szCs w:val="24"/>
        </w:rPr>
        <w:t xml:space="preserve">line of submersible pumps </w:t>
      </w:r>
      <w:r>
        <w:rPr>
          <w:rFonts w:ascii="Times New Roman" w:eastAsia="Times New Roman" w:hAnsi="Times New Roman" w:cs="Times New Roman"/>
          <w:color w:val="000000"/>
          <w:sz w:val="24"/>
          <w:szCs w:val="24"/>
        </w:rPr>
        <w:t xml:space="preserve">that are </w:t>
      </w:r>
      <w:r w:rsidRPr="0036725A">
        <w:rPr>
          <w:rFonts w:ascii="Times New Roman" w:eastAsia="Times New Roman" w:hAnsi="Times New Roman" w:cs="Times New Roman"/>
          <w:color w:val="000000"/>
          <w:sz w:val="24"/>
          <w:szCs w:val="24"/>
        </w:rPr>
        <w:t xml:space="preserve">used to </w:t>
      </w:r>
      <w:r>
        <w:rPr>
          <w:rFonts w:ascii="Times New Roman" w:eastAsia="Times New Roman" w:hAnsi="Times New Roman" w:cs="Times New Roman"/>
          <w:color w:val="000000"/>
          <w:sz w:val="24"/>
          <w:szCs w:val="24"/>
        </w:rPr>
        <w:t xml:space="preserve">prevent flooding in underground </w:t>
      </w:r>
      <w:r w:rsidRPr="0036725A">
        <w:rPr>
          <w:rFonts w:ascii="Times New Roman" w:eastAsia="Times New Roman" w:hAnsi="Times New Roman" w:cs="Times New Roman"/>
          <w:color w:val="000000"/>
          <w:sz w:val="24"/>
          <w:szCs w:val="24"/>
        </w:rPr>
        <w:t>work</w:t>
      </w:r>
      <w:r>
        <w:rPr>
          <w:rFonts w:ascii="Times New Roman" w:eastAsia="Times New Roman" w:hAnsi="Times New Roman" w:cs="Times New Roman"/>
          <w:color w:val="000000"/>
          <w:sz w:val="24"/>
          <w:szCs w:val="24"/>
        </w:rPr>
        <w:t xml:space="preserve"> </w:t>
      </w:r>
      <w:r w:rsidRPr="0036725A">
        <w:rPr>
          <w:rFonts w:ascii="Times New Roman" w:eastAsia="Times New Roman" w:hAnsi="Times New Roman" w:cs="Times New Roman"/>
          <w:color w:val="000000"/>
          <w:sz w:val="24"/>
          <w:szCs w:val="24"/>
        </w:rPr>
        <w:t>areas</w:t>
      </w:r>
      <w:r>
        <w:rPr>
          <w:rFonts w:ascii="Times New Roman" w:eastAsia="Times New Roman" w:hAnsi="Times New Roman" w:cs="Times New Roman"/>
          <w:color w:val="000000"/>
          <w:sz w:val="24"/>
          <w:szCs w:val="24"/>
        </w:rPr>
        <w:t>.</w:t>
      </w:r>
      <w:r>
        <w:rPr>
          <w:rStyle w:val="EndnoteReference"/>
          <w:rFonts w:ascii="Times New Roman" w:eastAsia="Times New Roman" w:hAnsi="Times New Roman" w:cs="Times New Roman"/>
          <w:color w:val="000000"/>
          <w:sz w:val="24"/>
          <w:szCs w:val="24"/>
        </w:rPr>
        <w:endnoteReference w:id="12"/>
      </w:r>
      <w:r>
        <w:rPr>
          <w:rFonts w:ascii="Times New Roman" w:eastAsia="Times New Roman" w:hAnsi="Times New Roman" w:cs="Times New Roman"/>
          <w:color w:val="000000"/>
          <w:sz w:val="24"/>
          <w:szCs w:val="24"/>
        </w:rPr>
        <w:t xml:space="preserve">  Peak also supplies </w:t>
      </w:r>
      <w:r w:rsidRPr="0036725A">
        <w:rPr>
          <w:rFonts w:ascii="Times New Roman" w:eastAsia="Times New Roman" w:hAnsi="Times New Roman" w:cs="Times New Roman"/>
          <w:color w:val="000000"/>
          <w:sz w:val="24"/>
          <w:szCs w:val="24"/>
        </w:rPr>
        <w:t xml:space="preserve">large ventilation fans and air barrier doors, used to </w:t>
      </w:r>
      <w:r>
        <w:rPr>
          <w:rFonts w:ascii="Times New Roman" w:eastAsia="Times New Roman" w:hAnsi="Times New Roman" w:cs="Times New Roman"/>
          <w:color w:val="000000"/>
          <w:sz w:val="24"/>
          <w:szCs w:val="24"/>
        </w:rPr>
        <w:t xml:space="preserve">maintain breathable </w:t>
      </w:r>
      <w:r w:rsidRPr="0036725A">
        <w:rPr>
          <w:rFonts w:ascii="Times New Roman" w:eastAsia="Times New Roman" w:hAnsi="Times New Roman" w:cs="Times New Roman"/>
          <w:color w:val="000000"/>
          <w:sz w:val="24"/>
          <w:szCs w:val="24"/>
        </w:rPr>
        <w:t>air</w:t>
      </w:r>
      <w:r>
        <w:rPr>
          <w:rFonts w:ascii="Times New Roman" w:eastAsia="Times New Roman" w:hAnsi="Times New Roman" w:cs="Times New Roman"/>
          <w:color w:val="000000"/>
          <w:sz w:val="24"/>
          <w:szCs w:val="24"/>
        </w:rPr>
        <w:t xml:space="preserve"> </w:t>
      </w:r>
      <w:r w:rsidRPr="0036725A">
        <w:rPr>
          <w:rFonts w:ascii="Times New Roman" w:eastAsia="Times New Roman" w:hAnsi="Times New Roman" w:cs="Times New Roman"/>
          <w:color w:val="000000"/>
          <w:sz w:val="24"/>
          <w:szCs w:val="24"/>
        </w:rPr>
        <w:t xml:space="preserve">in </w:t>
      </w:r>
      <w:r>
        <w:rPr>
          <w:rFonts w:ascii="Times New Roman" w:eastAsia="Times New Roman" w:hAnsi="Times New Roman" w:cs="Times New Roman"/>
          <w:color w:val="000000"/>
          <w:sz w:val="24"/>
          <w:szCs w:val="24"/>
        </w:rPr>
        <w:t xml:space="preserve">these deep </w:t>
      </w:r>
      <w:r w:rsidRPr="0036725A">
        <w:rPr>
          <w:rFonts w:ascii="Times New Roman" w:eastAsia="Times New Roman" w:hAnsi="Times New Roman" w:cs="Times New Roman"/>
          <w:color w:val="000000"/>
          <w:sz w:val="24"/>
          <w:szCs w:val="24"/>
        </w:rPr>
        <w:t>underground mine</w:t>
      </w:r>
      <w:r>
        <w:rPr>
          <w:rFonts w:ascii="Times New Roman" w:eastAsia="Times New Roman" w:hAnsi="Times New Roman" w:cs="Times New Roman"/>
          <w:color w:val="000000"/>
          <w:sz w:val="24"/>
          <w:szCs w:val="24"/>
        </w:rPr>
        <w:t>s.</w:t>
      </w:r>
      <w:r>
        <w:rPr>
          <w:rStyle w:val="EndnoteReference"/>
          <w:rFonts w:ascii="Times New Roman" w:eastAsia="Times New Roman" w:hAnsi="Times New Roman" w:cs="Times New Roman"/>
          <w:color w:val="000000"/>
          <w:sz w:val="24"/>
          <w:szCs w:val="24"/>
        </w:rPr>
        <w:endnoteReference w:id="13"/>
      </w:r>
    </w:p>
    <w:p w14:paraId="540D9078" w14:textId="77777777" w:rsidR="00250577" w:rsidRDefault="00250577" w:rsidP="003D2DB1">
      <w:pPr>
        <w:spacing w:after="0" w:line="240" w:lineRule="auto"/>
      </w:pPr>
    </w:p>
    <w:p w14:paraId="63ACF490" w14:textId="658929C9" w:rsidR="00250577" w:rsidRDefault="00250577" w:rsidP="003D2DB1">
      <w:pPr>
        <w:spacing w:after="0" w:line="240" w:lineRule="auto"/>
        <w:rPr>
          <w:rFonts w:ascii="Times New Roman" w:hAnsi="Times New Roman" w:cs="Times New Roman"/>
          <w:sz w:val="24"/>
          <w:szCs w:val="24"/>
        </w:rPr>
      </w:pPr>
      <w:r w:rsidRPr="00A859F6">
        <w:rPr>
          <w:rFonts w:ascii="Times New Roman" w:hAnsi="Times New Roman" w:cs="Times New Roman"/>
          <w:sz w:val="24"/>
          <w:szCs w:val="24"/>
        </w:rPr>
        <w:t xml:space="preserve">As discussed below, after not having been able </w:t>
      </w:r>
      <w:r w:rsidRPr="00441577">
        <w:rPr>
          <w:rFonts w:ascii="Times New Roman" w:hAnsi="Times New Roman" w:cs="Times New Roman"/>
          <w:sz w:val="24"/>
          <w:szCs w:val="24"/>
        </w:rPr>
        <w:t>to secure pollution liability insurance</w:t>
      </w:r>
      <w:r>
        <w:rPr>
          <w:rFonts w:ascii="Times New Roman" w:hAnsi="Times New Roman" w:cs="Times New Roman"/>
          <w:sz w:val="24"/>
          <w:szCs w:val="24"/>
        </w:rPr>
        <w:t>, among other coverages, from the commercial markets</w:t>
      </w:r>
      <w:r w:rsidRPr="00441577">
        <w:rPr>
          <w:rFonts w:ascii="Times New Roman" w:hAnsi="Times New Roman" w:cs="Times New Roman"/>
          <w:sz w:val="24"/>
          <w:szCs w:val="24"/>
        </w:rPr>
        <w:t>, Peak and the other insureds participated in the formation of Reserve</w:t>
      </w:r>
      <w:r>
        <w:rPr>
          <w:rFonts w:ascii="Times New Roman" w:hAnsi="Times New Roman" w:cs="Times New Roman"/>
          <w:sz w:val="24"/>
          <w:szCs w:val="24"/>
        </w:rPr>
        <w:t>.  Congress enacted Section 501(c)(15)</w:t>
      </w:r>
      <w:r>
        <w:rPr>
          <w:rStyle w:val="EndnoteReference"/>
          <w:rFonts w:ascii="Times New Roman" w:hAnsi="Times New Roman" w:cs="Times New Roman"/>
          <w:sz w:val="24"/>
          <w:szCs w:val="24"/>
        </w:rPr>
        <w:endnoteReference w:id="14"/>
      </w:r>
      <w:r>
        <w:rPr>
          <w:rFonts w:ascii="Times New Roman" w:hAnsi="Times New Roman" w:cs="Times New Roman"/>
          <w:sz w:val="24"/>
          <w:szCs w:val="24"/>
        </w:rPr>
        <w:t xml:space="preserve"> with origins dating back almost 100 years to facilitate businesses’ acquiring insurance coverages from affiliates.  The case law applicable to “insurance” and “insurance companies” is undistinguished by whether the entity operates under IRC Section 501(c)(15),  831(b) or 831(a).</w:t>
      </w:r>
    </w:p>
    <w:p w14:paraId="7D2F33F1" w14:textId="77777777" w:rsidR="00250577" w:rsidRDefault="00250577" w:rsidP="00830DE4">
      <w:pPr>
        <w:spacing w:after="0" w:line="240" w:lineRule="auto"/>
        <w:rPr>
          <w:rFonts w:ascii="Times New Roman" w:hAnsi="Times New Roman" w:cs="Times New Roman"/>
          <w:sz w:val="24"/>
          <w:szCs w:val="24"/>
        </w:rPr>
      </w:pPr>
    </w:p>
    <w:p w14:paraId="16E89984" w14:textId="18F6C705" w:rsidR="00250577" w:rsidRDefault="00250577" w:rsidP="00A7646C">
      <w:pPr>
        <w:spacing w:after="0" w:line="240" w:lineRule="auto"/>
        <w:rPr>
          <w:rFonts w:ascii="Times New Roman" w:hAnsi="Times New Roman" w:cs="Times New Roman"/>
          <w:sz w:val="24"/>
          <w:szCs w:val="24"/>
        </w:rPr>
      </w:pPr>
      <w:r w:rsidRPr="00A32F4F">
        <w:rPr>
          <w:rFonts w:ascii="Times New Roman" w:hAnsi="Times New Roman" w:cs="Times New Roman"/>
          <w:sz w:val="24"/>
          <w:szCs w:val="24"/>
        </w:rPr>
        <w:t xml:space="preserve">In addition to </w:t>
      </w:r>
      <w:r>
        <w:rPr>
          <w:rFonts w:ascii="Times New Roman" w:hAnsi="Times New Roman" w:cs="Times New Roman"/>
          <w:sz w:val="24"/>
          <w:szCs w:val="24"/>
        </w:rPr>
        <w:t xml:space="preserve">providing testimony about </w:t>
      </w:r>
      <w:r w:rsidRPr="00A32F4F">
        <w:rPr>
          <w:rFonts w:ascii="Times New Roman" w:hAnsi="Times New Roman" w:cs="Times New Roman"/>
          <w:sz w:val="24"/>
          <w:szCs w:val="24"/>
        </w:rPr>
        <w:t xml:space="preserve">the operations of the </w:t>
      </w:r>
      <w:r>
        <w:rPr>
          <w:rFonts w:ascii="Times New Roman" w:hAnsi="Times New Roman" w:cs="Times New Roman"/>
          <w:sz w:val="24"/>
          <w:szCs w:val="24"/>
        </w:rPr>
        <w:t xml:space="preserve">three non-party affiliated </w:t>
      </w:r>
      <w:r w:rsidRPr="00A32F4F">
        <w:rPr>
          <w:rFonts w:ascii="Times New Roman" w:hAnsi="Times New Roman" w:cs="Times New Roman"/>
          <w:sz w:val="24"/>
          <w:szCs w:val="24"/>
        </w:rPr>
        <w:t>insureds</w:t>
      </w:r>
      <w:r>
        <w:rPr>
          <w:rFonts w:ascii="Times New Roman" w:hAnsi="Times New Roman" w:cs="Times New Roman"/>
          <w:sz w:val="24"/>
          <w:szCs w:val="24"/>
        </w:rPr>
        <w:t xml:space="preserve"> (the “Peak insureds”),</w:t>
      </w:r>
      <w:r w:rsidDel="00AA11E7">
        <w:rPr>
          <w:rFonts w:ascii="Times New Roman" w:hAnsi="Times New Roman" w:cs="Times New Roman"/>
          <w:sz w:val="24"/>
          <w:szCs w:val="24"/>
        </w:rPr>
        <w:t xml:space="preserve"> </w:t>
      </w:r>
      <w:r w:rsidRPr="00A32F4F">
        <w:rPr>
          <w:rFonts w:ascii="Times New Roman" w:hAnsi="Times New Roman" w:cs="Times New Roman"/>
          <w:sz w:val="24"/>
          <w:szCs w:val="24"/>
        </w:rPr>
        <w:t xml:space="preserve">Mr. Zumbaum </w:t>
      </w:r>
      <w:r>
        <w:rPr>
          <w:rFonts w:ascii="Times New Roman" w:hAnsi="Times New Roman" w:cs="Times New Roman"/>
          <w:sz w:val="24"/>
          <w:szCs w:val="24"/>
        </w:rPr>
        <w:t xml:space="preserve">(among others) </w:t>
      </w:r>
      <w:r w:rsidRPr="00A32F4F">
        <w:rPr>
          <w:rFonts w:ascii="Times New Roman" w:hAnsi="Times New Roman" w:cs="Times New Roman"/>
          <w:sz w:val="24"/>
          <w:szCs w:val="24"/>
        </w:rPr>
        <w:t xml:space="preserve">also testified </w:t>
      </w:r>
      <w:r>
        <w:rPr>
          <w:rFonts w:ascii="Times New Roman" w:hAnsi="Times New Roman" w:cs="Times New Roman"/>
          <w:sz w:val="24"/>
          <w:szCs w:val="24"/>
        </w:rPr>
        <w:t>about</w:t>
      </w:r>
      <w:r w:rsidRPr="00A32F4F">
        <w:rPr>
          <w:rFonts w:ascii="Times New Roman" w:hAnsi="Times New Roman" w:cs="Times New Roman"/>
          <w:sz w:val="24"/>
          <w:szCs w:val="24"/>
        </w:rPr>
        <w:t xml:space="preserve"> </w:t>
      </w:r>
      <w:r>
        <w:rPr>
          <w:rFonts w:ascii="Times New Roman" w:hAnsi="Times New Roman" w:cs="Times New Roman"/>
          <w:sz w:val="24"/>
          <w:szCs w:val="24"/>
        </w:rPr>
        <w:t xml:space="preserve">the operations of Reserve, </w:t>
      </w:r>
      <w:r w:rsidRPr="00A32F4F">
        <w:rPr>
          <w:rFonts w:ascii="Times New Roman" w:hAnsi="Times New Roman" w:cs="Times New Roman"/>
          <w:sz w:val="24"/>
          <w:szCs w:val="24"/>
        </w:rPr>
        <w:t>the captive</w:t>
      </w:r>
      <w:r>
        <w:rPr>
          <w:rFonts w:ascii="Times New Roman" w:hAnsi="Times New Roman" w:cs="Times New Roman"/>
          <w:sz w:val="24"/>
          <w:szCs w:val="24"/>
        </w:rPr>
        <w:t xml:space="preserve"> insurer.</w:t>
      </w:r>
      <w:r w:rsidRPr="00A32F4F">
        <w:rPr>
          <w:rStyle w:val="EndnoteReference"/>
          <w:rFonts w:ascii="Times New Roman" w:hAnsi="Times New Roman" w:cs="Times New Roman"/>
          <w:sz w:val="24"/>
          <w:szCs w:val="24"/>
        </w:rPr>
        <w:endnoteReference w:id="15"/>
      </w:r>
      <w:r w:rsidRPr="00A32F4F">
        <w:rPr>
          <w:rFonts w:ascii="Times New Roman" w:hAnsi="Times New Roman" w:cs="Times New Roman"/>
          <w:sz w:val="24"/>
          <w:szCs w:val="24"/>
        </w:rPr>
        <w:t xml:space="preserve">  Mr. Zumbaum testified that he relied on his professional team</w:t>
      </w:r>
      <w:r>
        <w:rPr>
          <w:rFonts w:ascii="Times New Roman" w:hAnsi="Times New Roman" w:cs="Times New Roman"/>
          <w:sz w:val="24"/>
          <w:szCs w:val="24"/>
        </w:rPr>
        <w:t xml:space="preserve"> of advisors, including Capstone Associated Services, Ltd., </w:t>
      </w:r>
      <w:r w:rsidRPr="00A32F4F">
        <w:rPr>
          <w:rFonts w:ascii="Times New Roman" w:hAnsi="Times New Roman" w:cs="Times New Roman"/>
          <w:sz w:val="24"/>
          <w:szCs w:val="24"/>
        </w:rPr>
        <w:t xml:space="preserve">in connection with Reserve’s </w:t>
      </w:r>
      <w:r>
        <w:rPr>
          <w:rFonts w:ascii="Times New Roman" w:hAnsi="Times New Roman" w:cs="Times New Roman"/>
          <w:sz w:val="24"/>
          <w:szCs w:val="24"/>
        </w:rPr>
        <w:t>operations</w:t>
      </w:r>
      <w:r w:rsidRPr="00A32F4F">
        <w:rPr>
          <w:rFonts w:ascii="Times New Roman" w:hAnsi="Times New Roman" w:cs="Times New Roman"/>
          <w:sz w:val="24"/>
          <w:szCs w:val="24"/>
        </w:rPr>
        <w:t>.</w:t>
      </w:r>
      <w:r w:rsidRPr="00A32F4F">
        <w:rPr>
          <w:rStyle w:val="EndnoteReference"/>
          <w:rFonts w:ascii="Times New Roman" w:hAnsi="Times New Roman" w:cs="Times New Roman"/>
          <w:sz w:val="24"/>
          <w:szCs w:val="24"/>
        </w:rPr>
        <w:endnoteReference w:id="16"/>
      </w:r>
      <w:r w:rsidRPr="00A32F4F">
        <w:rPr>
          <w:rFonts w:ascii="Times New Roman" w:hAnsi="Times New Roman" w:cs="Times New Roman"/>
          <w:sz w:val="24"/>
          <w:szCs w:val="24"/>
        </w:rPr>
        <w:t xml:space="preserve">  </w:t>
      </w:r>
      <w:r>
        <w:rPr>
          <w:rFonts w:ascii="Times New Roman" w:hAnsi="Times New Roman" w:cs="Times New Roman"/>
          <w:sz w:val="24"/>
          <w:szCs w:val="24"/>
        </w:rPr>
        <w:t xml:space="preserve">Despite this testimony, </w:t>
      </w:r>
      <w:r w:rsidRPr="00A32F4F">
        <w:rPr>
          <w:rFonts w:ascii="Times New Roman" w:hAnsi="Times New Roman" w:cs="Times New Roman"/>
          <w:sz w:val="24"/>
          <w:szCs w:val="24"/>
        </w:rPr>
        <w:t>the Court concluded that “Zumbaum, Reserve</w:t>
      </w:r>
      <w:r>
        <w:rPr>
          <w:rFonts w:ascii="Times New Roman" w:hAnsi="Times New Roman" w:cs="Times New Roman"/>
          <w:sz w:val="24"/>
          <w:szCs w:val="24"/>
        </w:rPr>
        <w:t>’</w:t>
      </w:r>
      <w:r w:rsidRPr="00A32F4F">
        <w:rPr>
          <w:rFonts w:ascii="Times New Roman" w:hAnsi="Times New Roman" w:cs="Times New Roman"/>
          <w:sz w:val="24"/>
          <w:szCs w:val="24"/>
        </w:rPr>
        <w:t>s 50%</w:t>
      </w:r>
      <w:r>
        <w:rPr>
          <w:rFonts w:ascii="Times New Roman" w:hAnsi="Times New Roman" w:cs="Times New Roman"/>
          <w:sz w:val="24"/>
          <w:szCs w:val="24"/>
        </w:rPr>
        <w:t xml:space="preserve"> owner and </w:t>
      </w:r>
      <w:r w:rsidRPr="00A32F4F">
        <w:rPr>
          <w:rFonts w:ascii="Times New Roman" w:hAnsi="Times New Roman" w:cs="Times New Roman"/>
          <w:sz w:val="24"/>
          <w:szCs w:val="24"/>
        </w:rPr>
        <w:t>chief</w:t>
      </w:r>
      <w:r>
        <w:rPr>
          <w:rFonts w:ascii="Times New Roman" w:hAnsi="Times New Roman" w:cs="Times New Roman"/>
          <w:sz w:val="24"/>
          <w:szCs w:val="24"/>
        </w:rPr>
        <w:t xml:space="preserve"> </w:t>
      </w:r>
      <w:r w:rsidRPr="00A7646C">
        <w:rPr>
          <w:rFonts w:ascii="Times New Roman" w:hAnsi="Times New Roman" w:cs="Times New Roman"/>
          <w:sz w:val="24"/>
          <w:szCs w:val="24"/>
        </w:rPr>
        <w:t xml:space="preserve">executive officer, knew virtually nothing about </w:t>
      </w:r>
      <w:r>
        <w:rPr>
          <w:rFonts w:ascii="Times New Roman" w:hAnsi="Times New Roman" w:cs="Times New Roman"/>
          <w:sz w:val="24"/>
          <w:szCs w:val="24"/>
        </w:rPr>
        <w:t>[Reserve’s]</w:t>
      </w:r>
      <w:r w:rsidRPr="00A7646C">
        <w:rPr>
          <w:rFonts w:ascii="Times New Roman" w:hAnsi="Times New Roman" w:cs="Times New Roman"/>
          <w:sz w:val="24"/>
          <w:szCs w:val="24"/>
        </w:rPr>
        <w:t xml:space="preserve"> operations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7"/>
      </w:r>
      <w:r>
        <w:rPr>
          <w:rFonts w:ascii="Times New Roman" w:hAnsi="Times New Roman" w:cs="Times New Roman"/>
          <w:sz w:val="24"/>
          <w:szCs w:val="24"/>
        </w:rPr>
        <w:t xml:space="preserve"> The Court apparently expected the insureds’ CEO, who runs a mining equipment operation, to be more conversant in property and casualty insurance matters despite his testimony that he delegates insurance operations to an experienced professional team.  Although Mr. Zumbaum did not deny any responsibility for Reserve’s operations, the Court created and imposed a new standard by requiring a CEO to be fluid in his knowledge of the insurer’s operations rather than reasonably relying on the expertise of the recognized professional team.</w:t>
      </w:r>
    </w:p>
    <w:p w14:paraId="74562542" w14:textId="77777777" w:rsidR="00250577" w:rsidRDefault="00250577" w:rsidP="00830DE4">
      <w:pPr>
        <w:spacing w:after="0" w:line="240" w:lineRule="auto"/>
        <w:rPr>
          <w:rFonts w:ascii="Times New Roman" w:eastAsia="Times New Roman" w:hAnsi="Times New Roman" w:cs="Times New Roman"/>
          <w:color w:val="000000"/>
          <w:sz w:val="24"/>
          <w:szCs w:val="24"/>
        </w:rPr>
      </w:pPr>
    </w:p>
    <w:p w14:paraId="203A961F" w14:textId="261093CB" w:rsidR="00250577" w:rsidRPr="0036725A" w:rsidRDefault="00250577" w:rsidP="00830DE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policies issued by Reserve to its three affiliated insureds (separate and apart from the thousands of unaffiliated insureds) were crafted (as were the commercial policies) to meet the insureds’ specific business needs, and, as explained below, none of Reserve’s policies duplicated Peak’s commercial policies.   </w:t>
      </w:r>
    </w:p>
    <w:p w14:paraId="029DDB16" w14:textId="77777777" w:rsidR="00250577" w:rsidRPr="0036725A" w:rsidRDefault="00250577" w:rsidP="00830DE4">
      <w:pPr>
        <w:spacing w:after="0" w:line="240" w:lineRule="auto"/>
        <w:rPr>
          <w:rFonts w:ascii="Times New Roman" w:hAnsi="Times New Roman" w:cs="Times New Roman"/>
          <w:sz w:val="24"/>
          <w:szCs w:val="24"/>
        </w:rPr>
      </w:pPr>
    </w:p>
    <w:p w14:paraId="7CEA9AD4" w14:textId="756D42F6" w:rsidR="00250577" w:rsidRDefault="00250577" w:rsidP="00830DE4">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36725A">
        <w:rPr>
          <w:rFonts w:ascii="Times New Roman" w:hAnsi="Times New Roman" w:cs="Times New Roman"/>
          <w:sz w:val="24"/>
          <w:szCs w:val="24"/>
        </w:rPr>
        <w:t xml:space="preserve">he other two entities insured under Reserve’s direct written policies (RocQuest, LLC and ZW </w:t>
      </w:r>
      <w:r w:rsidRPr="00532F76">
        <w:rPr>
          <w:rFonts w:ascii="Times New Roman" w:hAnsi="Times New Roman" w:cs="Times New Roman"/>
          <w:sz w:val="24"/>
          <w:szCs w:val="24"/>
        </w:rPr>
        <w:t xml:space="preserve">Enterprises, LLC) conducted </w:t>
      </w:r>
      <w:r>
        <w:rPr>
          <w:rFonts w:ascii="Times New Roman" w:hAnsi="Times New Roman" w:cs="Times New Roman"/>
          <w:sz w:val="24"/>
          <w:szCs w:val="24"/>
        </w:rPr>
        <w:t xml:space="preserve">more </w:t>
      </w:r>
      <w:r w:rsidRPr="00532F76">
        <w:rPr>
          <w:rFonts w:ascii="Times New Roman" w:hAnsi="Times New Roman" w:cs="Times New Roman"/>
          <w:sz w:val="24"/>
          <w:szCs w:val="24"/>
        </w:rPr>
        <w:t>limited operations</w:t>
      </w:r>
      <w:r>
        <w:rPr>
          <w:rFonts w:ascii="Times New Roman" w:hAnsi="Times New Roman" w:cs="Times New Roman"/>
          <w:sz w:val="24"/>
          <w:szCs w:val="24"/>
        </w:rPr>
        <w:t xml:space="preserve"> than Peak,</w:t>
      </w:r>
      <w:r w:rsidRPr="00532F76">
        <w:rPr>
          <w:rFonts w:ascii="Times New Roman" w:hAnsi="Times New Roman" w:cs="Times New Roman"/>
          <w:sz w:val="24"/>
          <w:szCs w:val="24"/>
        </w:rPr>
        <w:t xml:space="preserve"> </w:t>
      </w:r>
      <w:r>
        <w:rPr>
          <w:rFonts w:ascii="Times New Roman" w:hAnsi="Times New Roman" w:cs="Times New Roman"/>
          <w:sz w:val="24"/>
          <w:szCs w:val="24"/>
        </w:rPr>
        <w:t xml:space="preserve">with RocQuest owning significant </w:t>
      </w:r>
      <w:r w:rsidRPr="00532F76">
        <w:rPr>
          <w:rFonts w:ascii="Times New Roman" w:hAnsi="Times New Roman" w:cs="Times New Roman"/>
          <w:sz w:val="24"/>
          <w:szCs w:val="24"/>
        </w:rPr>
        <w:t>real estate</w:t>
      </w:r>
      <w:r w:rsidRPr="002A1C94">
        <w:rPr>
          <w:rFonts w:ascii="Times New Roman" w:hAnsi="Times New Roman" w:cs="Times New Roman"/>
          <w:sz w:val="24"/>
          <w:szCs w:val="24"/>
        </w:rPr>
        <w:t xml:space="preserve"> </w:t>
      </w:r>
      <w:r>
        <w:rPr>
          <w:rFonts w:ascii="Times New Roman" w:hAnsi="Times New Roman" w:cs="Times New Roman"/>
          <w:sz w:val="24"/>
          <w:szCs w:val="24"/>
        </w:rPr>
        <w:t>(</w:t>
      </w:r>
      <w:r w:rsidRPr="00532F76">
        <w:rPr>
          <w:rFonts w:ascii="Times New Roman" w:hAnsi="Times New Roman" w:cs="Times New Roman"/>
          <w:sz w:val="24"/>
          <w:szCs w:val="24"/>
        </w:rPr>
        <w:t>Peak’s facilities</w:t>
      </w:r>
      <w:r>
        <w:rPr>
          <w:rFonts w:ascii="Times New Roman" w:hAnsi="Times New Roman" w:cs="Times New Roman"/>
          <w:sz w:val="24"/>
          <w:szCs w:val="24"/>
        </w:rPr>
        <w:t>).</w:t>
      </w:r>
      <w:r w:rsidRPr="00532F76">
        <w:rPr>
          <w:rStyle w:val="EndnoteReference"/>
          <w:rFonts w:ascii="Times New Roman" w:hAnsi="Times New Roman" w:cs="Times New Roman"/>
          <w:sz w:val="24"/>
          <w:szCs w:val="24"/>
        </w:rPr>
        <w:endnoteReference w:id="18"/>
      </w:r>
      <w:r>
        <w:rPr>
          <w:rFonts w:ascii="Times New Roman" w:hAnsi="Times New Roman" w:cs="Times New Roman"/>
          <w:sz w:val="24"/>
          <w:szCs w:val="24"/>
        </w:rPr>
        <w:t xml:space="preserve">  Reserve also underwrote coverages to a diverse range </w:t>
      </w:r>
      <w:r>
        <w:rPr>
          <w:rFonts w:ascii="Times New Roman" w:hAnsi="Times New Roman" w:cs="Times New Roman"/>
          <w:sz w:val="24"/>
          <w:szCs w:val="24"/>
        </w:rPr>
        <w:lastRenderedPageBreak/>
        <w:t xml:space="preserve">of third-party insureds, including 200+ unaffiliated insureds </w:t>
      </w:r>
      <w:r w:rsidRPr="004D315F">
        <w:rPr>
          <w:rFonts w:ascii="Times New Roman" w:hAnsi="Times New Roman" w:cs="Times New Roman"/>
          <w:sz w:val="24"/>
          <w:szCs w:val="24"/>
        </w:rPr>
        <w:t xml:space="preserve">on 650+ policies </w:t>
      </w:r>
      <w:r>
        <w:rPr>
          <w:rFonts w:ascii="Times New Roman" w:hAnsi="Times New Roman" w:cs="Times New Roman"/>
          <w:sz w:val="24"/>
          <w:szCs w:val="24"/>
        </w:rPr>
        <w:t>(in 2010 for example) through a PoolRe administered pooling arrangement</w:t>
      </w:r>
      <w:r>
        <w:rPr>
          <w:rStyle w:val="EndnoteReference"/>
          <w:rFonts w:ascii="Times New Roman" w:hAnsi="Times New Roman" w:cs="Times New Roman"/>
          <w:sz w:val="24"/>
          <w:szCs w:val="24"/>
        </w:rPr>
        <w:endnoteReference w:id="19"/>
      </w:r>
      <w:r>
        <w:rPr>
          <w:rFonts w:ascii="Times New Roman" w:hAnsi="Times New Roman" w:cs="Times New Roman"/>
          <w:sz w:val="24"/>
          <w:szCs w:val="24"/>
        </w:rPr>
        <w:t xml:space="preserve"> and thousands of other non-affiliates on reinsurance assumed from a publicly-held insurer, Lyndon.</w:t>
      </w:r>
      <w:r>
        <w:rPr>
          <w:rStyle w:val="EndnoteReference"/>
          <w:rFonts w:ascii="Times New Roman" w:hAnsi="Times New Roman" w:cs="Times New Roman"/>
          <w:sz w:val="24"/>
          <w:szCs w:val="24"/>
        </w:rPr>
        <w:endnoteReference w:id="20"/>
      </w:r>
      <w:r>
        <w:rPr>
          <w:rFonts w:ascii="Times New Roman" w:hAnsi="Times New Roman" w:cs="Times New Roman"/>
          <w:sz w:val="24"/>
          <w:szCs w:val="24"/>
        </w:rPr>
        <w:t xml:space="preserve">  As with any captive insurance arrangement, t</w:t>
      </w:r>
      <w:r w:rsidRPr="00532F76">
        <w:rPr>
          <w:rFonts w:ascii="Times New Roman" w:hAnsi="Times New Roman" w:cs="Times New Roman"/>
          <w:sz w:val="24"/>
          <w:szCs w:val="24"/>
        </w:rPr>
        <w:t>he</w:t>
      </w:r>
      <w:r w:rsidRPr="0036725A">
        <w:rPr>
          <w:rFonts w:ascii="Times New Roman" w:hAnsi="Times New Roman" w:cs="Times New Roman"/>
          <w:sz w:val="24"/>
          <w:szCs w:val="24"/>
        </w:rPr>
        <w:t xml:space="preserve"> focus of </w:t>
      </w:r>
      <w:r>
        <w:rPr>
          <w:rFonts w:ascii="Times New Roman" w:hAnsi="Times New Roman" w:cs="Times New Roman"/>
          <w:sz w:val="24"/>
          <w:szCs w:val="24"/>
        </w:rPr>
        <w:t xml:space="preserve">Reserve’s direct </w:t>
      </w:r>
      <w:r w:rsidRPr="00291B84">
        <w:rPr>
          <w:rFonts w:ascii="Times New Roman" w:hAnsi="Times New Roman" w:cs="Times New Roman"/>
          <w:sz w:val="24"/>
          <w:szCs w:val="24"/>
        </w:rPr>
        <w:t xml:space="preserve">written coverages was on Peak.  The other two </w:t>
      </w:r>
      <w:r>
        <w:rPr>
          <w:rFonts w:ascii="Times New Roman" w:hAnsi="Times New Roman" w:cs="Times New Roman"/>
          <w:sz w:val="24"/>
          <w:szCs w:val="24"/>
        </w:rPr>
        <w:t xml:space="preserve">affiliated </w:t>
      </w:r>
      <w:r w:rsidRPr="00291B84">
        <w:rPr>
          <w:rFonts w:ascii="Times New Roman" w:hAnsi="Times New Roman" w:cs="Times New Roman"/>
          <w:sz w:val="24"/>
          <w:szCs w:val="24"/>
        </w:rPr>
        <w:t>entities were additional named insureds under the policies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1"/>
      </w:r>
      <w:r>
        <w:rPr>
          <w:rFonts w:ascii="Times New Roman" w:hAnsi="Times New Roman" w:cs="Times New Roman"/>
          <w:sz w:val="24"/>
          <w:szCs w:val="24"/>
        </w:rPr>
        <w:t xml:space="preserve"> </w:t>
      </w:r>
      <w:r w:rsidRPr="00291B84">
        <w:rPr>
          <w:rFonts w:ascii="Times New Roman" w:hAnsi="Times New Roman" w:cs="Times New Roman"/>
          <w:sz w:val="24"/>
          <w:szCs w:val="24"/>
        </w:rPr>
        <w:t>as is customary in the insurance industry for affiliated companies.</w:t>
      </w:r>
      <w:r>
        <w:rPr>
          <w:rStyle w:val="EndnoteReference"/>
          <w:rFonts w:ascii="Times New Roman" w:hAnsi="Times New Roman" w:cs="Times New Roman"/>
          <w:sz w:val="24"/>
          <w:szCs w:val="24"/>
        </w:rPr>
        <w:endnoteReference w:id="22"/>
      </w:r>
    </w:p>
    <w:p w14:paraId="4F42ADEE" w14:textId="77777777" w:rsidR="00250577" w:rsidRPr="00291B84" w:rsidRDefault="00250577" w:rsidP="00830DE4">
      <w:pPr>
        <w:spacing w:after="0" w:line="240" w:lineRule="auto"/>
        <w:rPr>
          <w:rFonts w:ascii="Times New Roman" w:hAnsi="Times New Roman" w:cs="Times New Roman"/>
          <w:sz w:val="24"/>
          <w:szCs w:val="24"/>
        </w:rPr>
      </w:pPr>
    </w:p>
    <w:p w14:paraId="4C17580E" w14:textId="3DF7F961" w:rsidR="00250577" w:rsidRDefault="00250577" w:rsidP="00170C5E">
      <w:pPr>
        <w:spacing w:after="0" w:line="240" w:lineRule="auto"/>
        <w:rPr>
          <w:rFonts w:ascii="Times New Roman" w:hAnsi="Times New Roman" w:cs="Times New Roman"/>
          <w:sz w:val="24"/>
          <w:szCs w:val="24"/>
        </w:rPr>
      </w:pPr>
      <w:r w:rsidRPr="00291B84">
        <w:rPr>
          <w:rFonts w:ascii="Times New Roman" w:hAnsi="Times New Roman" w:cs="Times New Roman"/>
          <w:sz w:val="24"/>
          <w:szCs w:val="24"/>
        </w:rPr>
        <w:t>Among the criticisms leveled at Reserve in the Opinion was that the Court</w:t>
      </w:r>
      <w:r>
        <w:rPr>
          <w:rFonts w:ascii="Times New Roman" w:hAnsi="Times New Roman" w:cs="Times New Roman"/>
          <w:sz w:val="24"/>
          <w:szCs w:val="24"/>
        </w:rPr>
        <w:t xml:space="preserve"> implied </w:t>
      </w:r>
      <w:r w:rsidRPr="00291B84">
        <w:rPr>
          <w:rFonts w:ascii="Times New Roman" w:hAnsi="Times New Roman" w:cs="Times New Roman"/>
          <w:sz w:val="24"/>
          <w:szCs w:val="24"/>
        </w:rPr>
        <w:t xml:space="preserve">that there was an obligation of the </w:t>
      </w:r>
      <w:r w:rsidRPr="00B5354C">
        <w:rPr>
          <w:rFonts w:ascii="Times New Roman" w:hAnsi="Times New Roman" w:cs="Times New Roman"/>
          <w:b/>
          <w:i/>
          <w:sz w:val="24"/>
          <w:szCs w:val="24"/>
        </w:rPr>
        <w:t xml:space="preserve">insurer </w:t>
      </w:r>
      <w:r w:rsidRPr="00291B84">
        <w:rPr>
          <w:rFonts w:ascii="Times New Roman" w:hAnsi="Times New Roman" w:cs="Times New Roman"/>
          <w:sz w:val="24"/>
          <w:szCs w:val="24"/>
        </w:rPr>
        <w:t xml:space="preserve">to segregate its billings among each named insured.  </w:t>
      </w:r>
      <w:r>
        <w:rPr>
          <w:rFonts w:ascii="Times New Roman" w:hAnsi="Times New Roman" w:cs="Times New Roman"/>
          <w:sz w:val="24"/>
          <w:szCs w:val="24"/>
        </w:rPr>
        <w:t xml:space="preserve">This concept was raised </w:t>
      </w:r>
      <w:r w:rsidRPr="00A60C09">
        <w:rPr>
          <w:rFonts w:ascii="Times New Roman" w:hAnsi="Times New Roman" w:cs="Times New Roman"/>
          <w:i/>
          <w:sz w:val="24"/>
          <w:szCs w:val="24"/>
        </w:rPr>
        <w:t>sua sponte</w:t>
      </w:r>
      <w:r>
        <w:rPr>
          <w:rFonts w:ascii="Times New Roman" w:hAnsi="Times New Roman" w:cs="Times New Roman"/>
          <w:sz w:val="24"/>
          <w:szCs w:val="24"/>
        </w:rPr>
        <w:t xml:space="preserve"> by the Court, which </w:t>
      </w:r>
      <w:r w:rsidRPr="00291B84">
        <w:rPr>
          <w:rFonts w:ascii="Times New Roman" w:hAnsi="Times New Roman" w:cs="Times New Roman"/>
          <w:sz w:val="24"/>
          <w:szCs w:val="24"/>
        </w:rPr>
        <w:t xml:space="preserve">stated </w:t>
      </w:r>
      <w:r>
        <w:rPr>
          <w:rFonts w:ascii="Times New Roman" w:hAnsi="Times New Roman" w:cs="Times New Roman"/>
          <w:sz w:val="24"/>
          <w:szCs w:val="24"/>
        </w:rPr>
        <w:t xml:space="preserve">as follows at </w:t>
      </w:r>
      <w:r w:rsidRPr="00291B84">
        <w:rPr>
          <w:rFonts w:ascii="Times New Roman" w:hAnsi="Times New Roman" w:cs="Times New Roman"/>
          <w:sz w:val="24"/>
          <w:szCs w:val="24"/>
        </w:rPr>
        <w:t>page 14 of the Opinion: “All of the polices that Reserve issued the [three] insureds showed only one premium price and did not specify amounts to be paid by each insured.”  The other two insureds (ZW and RocQuest) were “additional named insureds</w:t>
      </w:r>
      <w:r w:rsidRPr="0036725A">
        <w:rPr>
          <w:rFonts w:ascii="Times New Roman" w:hAnsi="Times New Roman" w:cs="Times New Roman"/>
          <w:sz w:val="24"/>
          <w:szCs w:val="24"/>
        </w:rPr>
        <w:t xml:space="preserve">” under the policy, with the Opinion </w:t>
      </w:r>
      <w:r>
        <w:rPr>
          <w:rFonts w:ascii="Times New Roman" w:hAnsi="Times New Roman" w:cs="Times New Roman"/>
          <w:sz w:val="24"/>
          <w:szCs w:val="24"/>
        </w:rPr>
        <w:t xml:space="preserve">criticizing the </w:t>
      </w:r>
      <w:r w:rsidRPr="0036725A">
        <w:rPr>
          <w:rFonts w:ascii="Times New Roman" w:hAnsi="Times New Roman" w:cs="Times New Roman"/>
          <w:sz w:val="24"/>
          <w:szCs w:val="24"/>
        </w:rPr>
        <w:t xml:space="preserve">ubiquitous </w:t>
      </w:r>
      <w:r>
        <w:rPr>
          <w:rFonts w:ascii="Times New Roman" w:hAnsi="Times New Roman" w:cs="Times New Roman"/>
          <w:sz w:val="24"/>
          <w:szCs w:val="24"/>
        </w:rPr>
        <w:t xml:space="preserve">and long-standing </w:t>
      </w:r>
      <w:r w:rsidRPr="0036725A">
        <w:rPr>
          <w:rFonts w:ascii="Times New Roman" w:hAnsi="Times New Roman" w:cs="Times New Roman"/>
          <w:sz w:val="24"/>
          <w:szCs w:val="24"/>
        </w:rPr>
        <w:t xml:space="preserve">insurance practice </w:t>
      </w:r>
      <w:r>
        <w:rPr>
          <w:rFonts w:ascii="Times New Roman" w:hAnsi="Times New Roman" w:cs="Times New Roman"/>
          <w:sz w:val="24"/>
          <w:szCs w:val="24"/>
        </w:rPr>
        <w:t xml:space="preserve">in both personal and commercial insurance lines </w:t>
      </w:r>
      <w:r w:rsidRPr="0036725A">
        <w:rPr>
          <w:rFonts w:ascii="Times New Roman" w:hAnsi="Times New Roman" w:cs="Times New Roman"/>
          <w:sz w:val="24"/>
          <w:szCs w:val="24"/>
        </w:rPr>
        <w:t xml:space="preserve">wherein the first named insured </w:t>
      </w:r>
      <w:r>
        <w:rPr>
          <w:rFonts w:ascii="Times New Roman" w:hAnsi="Times New Roman" w:cs="Times New Roman"/>
          <w:sz w:val="24"/>
          <w:szCs w:val="24"/>
        </w:rPr>
        <w:t xml:space="preserve">is listed along with </w:t>
      </w:r>
      <w:r w:rsidRPr="0036725A">
        <w:rPr>
          <w:rFonts w:ascii="Times New Roman" w:hAnsi="Times New Roman" w:cs="Times New Roman"/>
          <w:sz w:val="24"/>
          <w:szCs w:val="24"/>
        </w:rPr>
        <w:t>the Additional Named Insureds</w:t>
      </w:r>
      <w:r>
        <w:rPr>
          <w:rFonts w:ascii="Times New Roman" w:hAnsi="Times New Roman" w:cs="Times New Roman"/>
          <w:sz w:val="24"/>
          <w:szCs w:val="24"/>
        </w:rPr>
        <w:t xml:space="preserve"> on a single policy without further breakdown of charges, when all insureds are affiliates under common control, with only one overall premium charge specified.  There was no testimony or other evidence challenging this practice, which the Court spontaneously raised in the Opinion.  If allocated policy pricing were ever an issue, it is one for the insureds (not for Reserve, the insurer) calling for a Section 482 adjustment if the allocation among insureds was improper.  However, the insureds were not parties to the tax court case and no issue of misallocation of premiums among the insureds was raised at trial.  The Court appeared to ascribe the fault it fashioned to Reserve.  However, this is not an issue for Reserve, which properly reported the revenue from all insureds.  This was one of many examples of the Court announcing requirements nowhere previously imposed in any precedent and likewise not argued at trial.</w:t>
      </w:r>
    </w:p>
    <w:p w14:paraId="3699EDB3" w14:textId="77777777" w:rsidR="00250577" w:rsidRDefault="00250577" w:rsidP="005B3E28">
      <w:pPr>
        <w:spacing w:after="0" w:line="240" w:lineRule="auto"/>
        <w:rPr>
          <w:rFonts w:ascii="Times New Roman" w:hAnsi="Times New Roman" w:cs="Times New Roman"/>
          <w:sz w:val="24"/>
          <w:szCs w:val="24"/>
        </w:rPr>
      </w:pPr>
    </w:p>
    <w:p w14:paraId="3E574A5E" w14:textId="6D26D5E7" w:rsidR="00250577" w:rsidRDefault="00250577" w:rsidP="005B3E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Court </w:t>
      </w:r>
      <w:r w:rsidRPr="00104938">
        <w:rPr>
          <w:rFonts w:ascii="Times New Roman" w:hAnsi="Times New Roman" w:cs="Times New Roman"/>
          <w:i/>
          <w:sz w:val="24"/>
          <w:szCs w:val="24"/>
        </w:rPr>
        <w:t>sua sponte</w:t>
      </w:r>
      <w:r>
        <w:rPr>
          <w:rFonts w:ascii="Times New Roman" w:hAnsi="Times New Roman" w:cs="Times New Roman"/>
          <w:sz w:val="24"/>
          <w:szCs w:val="24"/>
        </w:rPr>
        <w:t xml:space="preserve"> and without precedent imposed a new requirement on an insurer to allocate premiums among its insureds as a condition of the contract being considered insurance, and then holding Reserve to such.  The Court was not constrained by this not being an issue at trial and without the benefit of evidence.  </w:t>
      </w:r>
    </w:p>
    <w:p w14:paraId="4380201E" w14:textId="77777777" w:rsidR="00250577" w:rsidRDefault="00250577" w:rsidP="005B3E28">
      <w:pPr>
        <w:spacing w:after="0" w:line="240" w:lineRule="auto"/>
        <w:rPr>
          <w:rFonts w:ascii="Times New Roman" w:hAnsi="Times New Roman" w:cs="Times New Roman"/>
          <w:sz w:val="24"/>
          <w:szCs w:val="24"/>
        </w:rPr>
      </w:pPr>
    </w:p>
    <w:p w14:paraId="4A40B2FC" w14:textId="05E8ECB1" w:rsidR="00250577" w:rsidRDefault="00250577" w:rsidP="005B3E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Court’s lodged complaint represents a first for the insurance industry as to the alleged impropriety of an insurer in issuing policies without allocating premiums among named insureds.  By way of example, even a homeowners or automobile </w:t>
      </w:r>
      <w:r w:rsidRPr="007E5209">
        <w:rPr>
          <w:rFonts w:ascii="Times New Roman" w:hAnsi="Times New Roman" w:cs="Times New Roman"/>
          <w:sz w:val="24"/>
          <w:szCs w:val="24"/>
        </w:rPr>
        <w:t xml:space="preserve">policy will typically list </w:t>
      </w:r>
      <w:r>
        <w:rPr>
          <w:rFonts w:ascii="Times New Roman" w:hAnsi="Times New Roman" w:cs="Times New Roman"/>
          <w:sz w:val="24"/>
          <w:szCs w:val="24"/>
        </w:rPr>
        <w:t xml:space="preserve">family members and perhaps their business and rental properties </w:t>
      </w:r>
      <w:r w:rsidRPr="007E5209">
        <w:rPr>
          <w:rFonts w:ascii="Times New Roman" w:hAnsi="Times New Roman" w:cs="Times New Roman"/>
          <w:sz w:val="24"/>
          <w:szCs w:val="24"/>
        </w:rPr>
        <w:t xml:space="preserve">as insureds under a single policy offered for a single premium.  While perhaps </w:t>
      </w:r>
      <w:r>
        <w:rPr>
          <w:rFonts w:ascii="Times New Roman" w:hAnsi="Times New Roman" w:cs="Times New Roman"/>
          <w:sz w:val="24"/>
          <w:szCs w:val="24"/>
        </w:rPr>
        <w:t xml:space="preserve">an argument </w:t>
      </w:r>
      <w:r w:rsidRPr="007E5209">
        <w:rPr>
          <w:rFonts w:ascii="Times New Roman" w:hAnsi="Times New Roman" w:cs="Times New Roman"/>
          <w:sz w:val="24"/>
          <w:szCs w:val="24"/>
        </w:rPr>
        <w:t>can be made that a</w:t>
      </w:r>
      <w:r>
        <w:rPr>
          <w:rFonts w:ascii="Times New Roman" w:hAnsi="Times New Roman" w:cs="Times New Roman"/>
          <w:sz w:val="24"/>
          <w:szCs w:val="24"/>
        </w:rPr>
        <w:t xml:space="preserve">n IRC </w:t>
      </w:r>
      <w:r w:rsidRPr="007E5209">
        <w:rPr>
          <w:rFonts w:ascii="Times New Roman" w:hAnsi="Times New Roman" w:cs="Times New Roman"/>
          <w:sz w:val="24"/>
          <w:szCs w:val="24"/>
        </w:rPr>
        <w:t xml:space="preserve">section 482 allocation </w:t>
      </w:r>
      <w:r w:rsidRPr="00F34DEF">
        <w:rPr>
          <w:rFonts w:ascii="Times New Roman" w:hAnsi="Times New Roman" w:cs="Times New Roman"/>
          <w:i/>
          <w:sz w:val="24"/>
          <w:szCs w:val="24"/>
        </w:rPr>
        <w:t>among the insureds</w:t>
      </w:r>
      <w:r w:rsidRPr="007E5209">
        <w:rPr>
          <w:rFonts w:ascii="Times New Roman" w:hAnsi="Times New Roman" w:cs="Times New Roman"/>
          <w:sz w:val="24"/>
          <w:szCs w:val="24"/>
        </w:rPr>
        <w:t xml:space="preserve"> might exist if the insureds were</w:t>
      </w:r>
      <w:r>
        <w:rPr>
          <w:rFonts w:ascii="Times New Roman" w:hAnsi="Times New Roman" w:cs="Times New Roman"/>
          <w:sz w:val="24"/>
          <w:szCs w:val="24"/>
        </w:rPr>
        <w:t xml:space="preserve"> (as was not the case here) before the Court, the Court somehow ascribed the responsibility for premium allocation to Reserve, which accepted the risks associated with the three insureds for the given policies for the called for premium. The Court simply manufactured this issue on its own;</w:t>
      </w:r>
      <w:r w:rsidRPr="00663B6D">
        <w:rPr>
          <w:rFonts w:ascii="Times New Roman" w:hAnsi="Times New Roman" w:cs="Times New Roman"/>
          <w:sz w:val="24"/>
          <w:szCs w:val="24"/>
        </w:rPr>
        <w:t xml:space="preserve"> </w:t>
      </w:r>
      <w:r>
        <w:rPr>
          <w:rFonts w:ascii="Times New Roman" w:hAnsi="Times New Roman" w:cs="Times New Roman"/>
          <w:sz w:val="24"/>
          <w:szCs w:val="24"/>
        </w:rPr>
        <w:t>the IRS never objected to or even raised this as an issue at trial</w:t>
      </w:r>
      <w:r w:rsidRPr="0036725A">
        <w:rPr>
          <w:rFonts w:ascii="Times New Roman" w:hAnsi="Times New Roman" w:cs="Times New Roman"/>
          <w:sz w:val="24"/>
          <w:szCs w:val="24"/>
        </w:rPr>
        <w:t>.</w:t>
      </w:r>
      <w:r>
        <w:rPr>
          <w:rFonts w:ascii="Times New Roman" w:hAnsi="Times New Roman" w:cs="Times New Roman"/>
          <w:sz w:val="24"/>
          <w:szCs w:val="24"/>
        </w:rPr>
        <w:t xml:space="preserve">  </w:t>
      </w:r>
    </w:p>
    <w:p w14:paraId="2F1F47E9" w14:textId="77777777" w:rsidR="00250577" w:rsidRDefault="00250577" w:rsidP="005B3E28">
      <w:pPr>
        <w:spacing w:after="0" w:line="240" w:lineRule="auto"/>
        <w:rPr>
          <w:rFonts w:ascii="Times New Roman" w:hAnsi="Times New Roman" w:cs="Times New Roman"/>
          <w:sz w:val="24"/>
          <w:szCs w:val="24"/>
        </w:rPr>
      </w:pPr>
    </w:p>
    <w:p w14:paraId="5E1691BB" w14:textId="7A668266" w:rsidR="00250577" w:rsidRDefault="00250577" w:rsidP="003640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Contrary to the Court’s criticism of Reserve’s standard premium billing arrangement, the </w:t>
      </w:r>
      <w:r w:rsidRPr="0036725A">
        <w:rPr>
          <w:rFonts w:ascii="Times New Roman" w:hAnsi="Times New Roman" w:cs="Times New Roman"/>
          <w:sz w:val="24"/>
          <w:szCs w:val="24"/>
        </w:rPr>
        <w:t xml:space="preserve">only testimony at trial regarding this issue established that it is not unusual for a single premium price to be charged by an </w:t>
      </w:r>
      <w:r>
        <w:rPr>
          <w:rFonts w:ascii="Times New Roman" w:hAnsi="Times New Roman" w:cs="Times New Roman"/>
          <w:sz w:val="24"/>
          <w:szCs w:val="24"/>
        </w:rPr>
        <w:t xml:space="preserve">insurer </w:t>
      </w:r>
      <w:r w:rsidRPr="0036725A">
        <w:rPr>
          <w:rFonts w:ascii="Times New Roman" w:hAnsi="Times New Roman" w:cs="Times New Roman"/>
          <w:sz w:val="24"/>
          <w:szCs w:val="24"/>
        </w:rPr>
        <w:t>for</w:t>
      </w:r>
      <w:r>
        <w:rPr>
          <w:rFonts w:ascii="Times New Roman" w:hAnsi="Times New Roman" w:cs="Times New Roman"/>
          <w:sz w:val="24"/>
          <w:szCs w:val="24"/>
        </w:rPr>
        <w:t xml:space="preserve"> multiple </w:t>
      </w:r>
      <w:r w:rsidRPr="0036725A">
        <w:rPr>
          <w:rFonts w:ascii="Times New Roman" w:hAnsi="Times New Roman" w:cs="Times New Roman"/>
          <w:sz w:val="24"/>
          <w:szCs w:val="24"/>
        </w:rPr>
        <w:t>named insured</w:t>
      </w:r>
      <w:r>
        <w:rPr>
          <w:rFonts w:ascii="Times New Roman" w:hAnsi="Times New Roman" w:cs="Times New Roman"/>
          <w:sz w:val="24"/>
          <w:szCs w:val="24"/>
        </w:rPr>
        <w:t>s</w:t>
      </w:r>
      <w:r w:rsidRPr="0036725A">
        <w:rPr>
          <w:rFonts w:ascii="Times New Roman" w:hAnsi="Times New Roman" w:cs="Times New Roman"/>
          <w:sz w:val="24"/>
          <w:szCs w:val="24"/>
        </w:rPr>
        <w:t xml:space="preserve"> </w:t>
      </w:r>
      <w:r>
        <w:rPr>
          <w:rFonts w:ascii="Times New Roman" w:hAnsi="Times New Roman" w:cs="Times New Roman"/>
          <w:sz w:val="24"/>
          <w:szCs w:val="24"/>
        </w:rPr>
        <w:t xml:space="preserve">where </w:t>
      </w:r>
      <w:r w:rsidRPr="0036725A">
        <w:rPr>
          <w:rFonts w:ascii="Times New Roman" w:hAnsi="Times New Roman" w:cs="Times New Roman"/>
          <w:sz w:val="24"/>
          <w:szCs w:val="24"/>
        </w:rPr>
        <w:t xml:space="preserve">similar ownership </w:t>
      </w:r>
      <w:r>
        <w:rPr>
          <w:rFonts w:ascii="Times New Roman" w:hAnsi="Times New Roman" w:cs="Times New Roman"/>
          <w:sz w:val="24"/>
          <w:szCs w:val="24"/>
        </w:rPr>
        <w:t>exists.</w:t>
      </w:r>
      <w:r w:rsidRPr="0036725A">
        <w:rPr>
          <w:rStyle w:val="EndnoteReference"/>
          <w:rFonts w:ascii="Times New Roman" w:hAnsi="Times New Roman" w:cs="Times New Roman"/>
          <w:sz w:val="24"/>
          <w:szCs w:val="24"/>
        </w:rPr>
        <w:endnoteReference w:id="23"/>
      </w:r>
      <w:r>
        <w:rPr>
          <w:rFonts w:ascii="Times New Roman" w:hAnsi="Times New Roman" w:cs="Times New Roman"/>
          <w:sz w:val="24"/>
          <w:szCs w:val="24"/>
        </w:rPr>
        <w:t xml:space="preserve">  This testimony was not controverted.  However, Reserve’s standard billing practices and those of the </w:t>
      </w:r>
      <w:r>
        <w:rPr>
          <w:rFonts w:ascii="Times New Roman" w:hAnsi="Times New Roman" w:cs="Times New Roman"/>
          <w:sz w:val="24"/>
          <w:szCs w:val="24"/>
        </w:rPr>
        <w:lastRenderedPageBreak/>
        <w:t>entire insurance industry were rejected by the Court without any citation to authority or otherwise explaining the Court’s reasoning.  The Court went outside the record to create an issue where there was none at trial.</w:t>
      </w:r>
    </w:p>
    <w:p w14:paraId="746B4333" w14:textId="77777777" w:rsidR="00250577" w:rsidRPr="0036725A" w:rsidRDefault="00250577" w:rsidP="00364083">
      <w:pPr>
        <w:spacing w:after="0" w:line="240" w:lineRule="auto"/>
        <w:rPr>
          <w:rFonts w:ascii="Times New Roman" w:hAnsi="Times New Roman" w:cs="Times New Roman"/>
          <w:b/>
          <w:sz w:val="24"/>
          <w:szCs w:val="24"/>
        </w:rPr>
      </w:pPr>
    </w:p>
    <w:p w14:paraId="433E29F4" w14:textId="77777777" w:rsidR="00250577" w:rsidRPr="0036725A" w:rsidRDefault="00250577" w:rsidP="00364083">
      <w:pPr>
        <w:spacing w:after="0" w:line="240" w:lineRule="auto"/>
        <w:rPr>
          <w:rFonts w:ascii="Times New Roman" w:hAnsi="Times New Roman" w:cs="Times New Roman"/>
          <w:b/>
          <w:sz w:val="24"/>
          <w:szCs w:val="24"/>
        </w:rPr>
      </w:pPr>
      <w:r w:rsidRPr="0036725A">
        <w:rPr>
          <w:rFonts w:ascii="Times New Roman" w:hAnsi="Times New Roman" w:cs="Times New Roman"/>
          <w:b/>
          <w:sz w:val="24"/>
          <w:szCs w:val="24"/>
        </w:rPr>
        <w:t>Witnesses Testifying at Trial</w:t>
      </w:r>
    </w:p>
    <w:p w14:paraId="42DC4F1B" w14:textId="77777777" w:rsidR="00250577" w:rsidRPr="0036725A" w:rsidRDefault="00250577" w:rsidP="00364083">
      <w:pPr>
        <w:autoSpaceDE w:val="0"/>
        <w:autoSpaceDN w:val="0"/>
        <w:adjustRightInd w:val="0"/>
        <w:spacing w:after="0" w:line="240" w:lineRule="auto"/>
        <w:rPr>
          <w:rFonts w:ascii="Times New Roman" w:hAnsi="Times New Roman" w:cs="Times New Roman"/>
          <w:sz w:val="24"/>
          <w:szCs w:val="24"/>
        </w:rPr>
      </w:pPr>
    </w:p>
    <w:p w14:paraId="78764FFC" w14:textId="10EF27EF" w:rsidR="00250577" w:rsidRDefault="00250577" w:rsidP="00364083">
      <w:pPr>
        <w:autoSpaceDE w:val="0"/>
        <w:autoSpaceDN w:val="0"/>
        <w:adjustRightInd w:val="0"/>
        <w:spacing w:after="0" w:line="240" w:lineRule="auto"/>
        <w:rPr>
          <w:rFonts w:ascii="Times New Roman" w:hAnsi="Times New Roman" w:cs="Times New Roman"/>
          <w:sz w:val="24"/>
          <w:szCs w:val="24"/>
        </w:rPr>
      </w:pPr>
      <w:r w:rsidRPr="0036725A">
        <w:rPr>
          <w:rFonts w:ascii="Times New Roman" w:hAnsi="Times New Roman" w:cs="Times New Roman"/>
          <w:sz w:val="24"/>
          <w:szCs w:val="24"/>
        </w:rPr>
        <w:t xml:space="preserve">At trial, Reserve presented the </w:t>
      </w:r>
      <w:r w:rsidRPr="0064414E">
        <w:rPr>
          <w:rFonts w:ascii="Times New Roman" w:hAnsi="Times New Roman" w:cs="Times New Roman"/>
          <w:sz w:val="24"/>
          <w:szCs w:val="24"/>
        </w:rPr>
        <w:t>testimony of 10 witnesses, including seven recognized experts. Among them were (i) two independent full Fellows of the Casualty Actuarial Society (FCAS), both also holding the Member of the American Academy of Actuaries (MAAA) designation, testifying as to the reasonableness of premiums’ pricing</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4"/>
      </w:r>
      <w:r w:rsidRPr="0064414E">
        <w:rPr>
          <w:rFonts w:ascii="Times New Roman" w:hAnsi="Times New Roman" w:cs="Times New Roman"/>
          <w:sz w:val="24"/>
          <w:szCs w:val="24"/>
        </w:rPr>
        <w:t xml:space="preserve"> (ii) a nationally recognized Ph.D.-credentialed insurance economist from</w:t>
      </w:r>
      <w:r w:rsidRPr="0036725A">
        <w:rPr>
          <w:rFonts w:ascii="Times New Roman" w:hAnsi="Times New Roman" w:cs="Times New Roman"/>
          <w:sz w:val="24"/>
          <w:szCs w:val="24"/>
        </w:rPr>
        <w:t xml:space="preserve"> </w:t>
      </w:r>
      <w:r>
        <w:rPr>
          <w:rFonts w:ascii="Times New Roman" w:hAnsi="Times New Roman" w:cs="Times New Roman"/>
          <w:sz w:val="24"/>
          <w:szCs w:val="24"/>
        </w:rPr>
        <w:t xml:space="preserve">The Wharton School, </w:t>
      </w:r>
      <w:r w:rsidRPr="0036725A">
        <w:rPr>
          <w:rFonts w:ascii="Times New Roman" w:hAnsi="Times New Roman" w:cs="Times New Roman"/>
          <w:sz w:val="24"/>
          <w:szCs w:val="24"/>
        </w:rPr>
        <w:t xml:space="preserve">testifying on </w:t>
      </w:r>
      <w:r>
        <w:rPr>
          <w:rFonts w:ascii="Times New Roman" w:hAnsi="Times New Roman" w:cs="Times New Roman"/>
          <w:sz w:val="24"/>
          <w:szCs w:val="24"/>
        </w:rPr>
        <w:t xml:space="preserve">risk distribution, </w:t>
      </w:r>
      <w:r w:rsidRPr="0036725A">
        <w:rPr>
          <w:rFonts w:ascii="Times New Roman" w:hAnsi="Times New Roman" w:cs="Times New Roman"/>
          <w:sz w:val="24"/>
          <w:szCs w:val="24"/>
        </w:rPr>
        <w:t>the pooling structure</w:t>
      </w:r>
      <w:r>
        <w:rPr>
          <w:rFonts w:ascii="Times New Roman" w:hAnsi="Times New Roman" w:cs="Times New Roman"/>
          <w:sz w:val="24"/>
          <w:szCs w:val="24"/>
        </w:rPr>
        <w:t xml:space="preserve"> and the insurance arrangements with the publicly-held insurer, Lyndon, in which Reserve participated</w:t>
      </w:r>
      <w:r w:rsidRPr="0036725A">
        <w:rPr>
          <w:rFonts w:ascii="Times New Roman" w:hAnsi="Times New Roman" w:cs="Times New Roman"/>
          <w:sz w:val="24"/>
          <w:szCs w:val="24"/>
        </w:rPr>
        <w:t>;</w:t>
      </w:r>
      <w:r>
        <w:rPr>
          <w:rStyle w:val="EndnoteReference"/>
          <w:rFonts w:ascii="Times New Roman" w:hAnsi="Times New Roman" w:cs="Times New Roman"/>
          <w:sz w:val="24"/>
          <w:szCs w:val="24"/>
        </w:rPr>
        <w:endnoteReference w:id="25"/>
      </w:r>
      <w:r w:rsidRPr="0036725A">
        <w:rPr>
          <w:rFonts w:ascii="Times New Roman" w:hAnsi="Times New Roman" w:cs="Times New Roman"/>
          <w:sz w:val="24"/>
          <w:szCs w:val="24"/>
        </w:rPr>
        <w:t xml:space="preserve"> (iii) a dual credentialed Chartered Property &amp; Casualty Underwriter (CPCU) and Associate of Risk Management (ARM), with 30+ years’ experience at international insurance brokerages, who assisted in the development of premiums charged by Reserve and the setting of the premiums;</w:t>
      </w:r>
      <w:r>
        <w:rPr>
          <w:rStyle w:val="EndnoteReference"/>
          <w:rFonts w:ascii="Times New Roman" w:hAnsi="Times New Roman" w:cs="Times New Roman"/>
          <w:sz w:val="24"/>
          <w:szCs w:val="24"/>
        </w:rPr>
        <w:endnoteReference w:id="26"/>
      </w:r>
      <w:r w:rsidRPr="0036725A">
        <w:rPr>
          <w:rFonts w:ascii="Times New Roman" w:hAnsi="Times New Roman" w:cs="Times New Roman"/>
          <w:sz w:val="24"/>
          <w:szCs w:val="24"/>
        </w:rPr>
        <w:t xml:space="preserve"> (iv) the Delaware Director of Captive and Financial Insurance, who is also a lawyer and an insurance regulator having decades of experience</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7"/>
      </w:r>
      <w:r>
        <w:rPr>
          <w:rFonts w:ascii="Times New Roman" w:hAnsi="Times New Roman" w:cs="Times New Roman"/>
          <w:sz w:val="24"/>
          <w:szCs w:val="24"/>
        </w:rPr>
        <w:t xml:space="preserve"> and (v) a licensed CPA with decades of experience in captive insurance accounting matters.</w:t>
      </w:r>
      <w:r>
        <w:rPr>
          <w:rStyle w:val="EndnoteReference"/>
          <w:rFonts w:ascii="Times New Roman" w:hAnsi="Times New Roman" w:cs="Times New Roman"/>
          <w:sz w:val="24"/>
          <w:szCs w:val="24"/>
        </w:rPr>
        <w:endnoteReference w:id="28"/>
      </w:r>
      <w:r>
        <w:rPr>
          <w:rFonts w:ascii="Times New Roman" w:hAnsi="Times New Roman" w:cs="Times New Roman"/>
          <w:sz w:val="24"/>
          <w:szCs w:val="24"/>
        </w:rPr>
        <w:t xml:space="preserve">  </w:t>
      </w:r>
      <w:r w:rsidRPr="0036725A">
        <w:rPr>
          <w:rFonts w:ascii="Times New Roman" w:hAnsi="Times New Roman" w:cs="Times New Roman"/>
          <w:sz w:val="24"/>
          <w:szCs w:val="24"/>
        </w:rPr>
        <w:t xml:space="preserve">Among the other witnesses was </w:t>
      </w:r>
      <w:r>
        <w:rPr>
          <w:rFonts w:ascii="Times New Roman" w:hAnsi="Times New Roman" w:cs="Times New Roman"/>
          <w:sz w:val="24"/>
          <w:szCs w:val="24"/>
        </w:rPr>
        <w:t xml:space="preserve">(i) </w:t>
      </w:r>
      <w:r w:rsidRPr="0036725A">
        <w:rPr>
          <w:rFonts w:ascii="Times New Roman" w:hAnsi="Times New Roman" w:cs="Times New Roman"/>
          <w:sz w:val="24"/>
          <w:szCs w:val="24"/>
        </w:rPr>
        <w:t xml:space="preserve">a member of the </w:t>
      </w:r>
      <w:r w:rsidRPr="009B3D88">
        <w:rPr>
          <w:rFonts w:ascii="Times New Roman" w:hAnsi="Times New Roman" w:cs="Times New Roman"/>
          <w:sz w:val="24"/>
          <w:szCs w:val="24"/>
        </w:rPr>
        <w:t>insurance pooling arrangement’s board of directors, himself a senior vice president of a global risk advisory firm, with decades of relevant insurance industry experience in addition to his being a licensed attorney and h</w:t>
      </w:r>
      <w:r>
        <w:rPr>
          <w:rFonts w:ascii="Times New Roman" w:hAnsi="Times New Roman" w:cs="Times New Roman"/>
          <w:sz w:val="24"/>
          <w:szCs w:val="24"/>
        </w:rPr>
        <w:t>aving the</w:t>
      </w:r>
      <w:r w:rsidRPr="009B3D88">
        <w:rPr>
          <w:rFonts w:ascii="Times New Roman" w:hAnsi="Times New Roman" w:cs="Times New Roman"/>
          <w:sz w:val="24"/>
          <w:szCs w:val="24"/>
        </w:rPr>
        <w:t xml:space="preserve"> professional designation </w:t>
      </w:r>
      <w:r>
        <w:rPr>
          <w:rFonts w:ascii="Times New Roman" w:hAnsi="Times New Roman" w:cs="Times New Roman"/>
          <w:sz w:val="24"/>
          <w:szCs w:val="24"/>
        </w:rPr>
        <w:t xml:space="preserve">as </w:t>
      </w:r>
      <w:r w:rsidRPr="009B3D88">
        <w:rPr>
          <w:rFonts w:ascii="Times New Roman" w:hAnsi="Times New Roman" w:cs="Times New Roman"/>
          <w:sz w:val="24"/>
          <w:szCs w:val="24"/>
        </w:rPr>
        <w:t>an Associate in Risk Management (ARM)</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9"/>
      </w:r>
      <w:r>
        <w:rPr>
          <w:rFonts w:ascii="Times New Roman" w:hAnsi="Times New Roman" w:cs="Times New Roman"/>
          <w:sz w:val="24"/>
          <w:szCs w:val="24"/>
        </w:rPr>
        <w:t xml:space="preserve"> and (ii) another actuary designated as an expert holding both</w:t>
      </w:r>
      <w:r w:rsidRPr="00372618">
        <w:rPr>
          <w:rFonts w:ascii="Times New Roman" w:hAnsi="Times New Roman" w:cs="Times New Roman"/>
          <w:sz w:val="24"/>
          <w:szCs w:val="24"/>
        </w:rPr>
        <w:t xml:space="preserve"> the </w:t>
      </w:r>
      <w:r>
        <w:rPr>
          <w:rFonts w:ascii="Times New Roman" w:hAnsi="Times New Roman" w:cs="Times New Roman"/>
          <w:sz w:val="24"/>
          <w:szCs w:val="24"/>
        </w:rPr>
        <w:t>Fellow of the Society of Actuaries (</w:t>
      </w:r>
      <w:r w:rsidRPr="00372618">
        <w:rPr>
          <w:rFonts w:ascii="Times New Roman" w:hAnsi="Times New Roman" w:cs="Times New Roman"/>
          <w:sz w:val="24"/>
          <w:szCs w:val="24"/>
        </w:rPr>
        <w:t>FSA</w:t>
      </w:r>
      <w:r>
        <w:rPr>
          <w:rFonts w:ascii="Times New Roman" w:hAnsi="Times New Roman" w:cs="Times New Roman"/>
          <w:sz w:val="24"/>
          <w:szCs w:val="24"/>
        </w:rPr>
        <w:t>)</w:t>
      </w:r>
      <w:r w:rsidRPr="00372618">
        <w:rPr>
          <w:rFonts w:ascii="Times New Roman" w:hAnsi="Times New Roman" w:cs="Times New Roman"/>
          <w:sz w:val="24"/>
          <w:szCs w:val="24"/>
        </w:rPr>
        <w:t xml:space="preserve"> and MAAA </w:t>
      </w:r>
      <w:r>
        <w:rPr>
          <w:rFonts w:ascii="Times New Roman" w:hAnsi="Times New Roman" w:cs="Times New Roman"/>
          <w:sz w:val="24"/>
          <w:szCs w:val="24"/>
        </w:rPr>
        <w:t xml:space="preserve">professional </w:t>
      </w:r>
      <w:r w:rsidRPr="00372618">
        <w:rPr>
          <w:rFonts w:ascii="Times New Roman" w:hAnsi="Times New Roman" w:cs="Times New Roman"/>
          <w:sz w:val="24"/>
          <w:szCs w:val="24"/>
        </w:rPr>
        <w:t>designations who</w:t>
      </w:r>
      <w:r>
        <w:rPr>
          <w:rFonts w:ascii="Times New Roman" w:hAnsi="Times New Roman" w:cs="Times New Roman"/>
          <w:sz w:val="24"/>
          <w:szCs w:val="24"/>
        </w:rPr>
        <w:t xml:space="preserve"> served as advisor to yet another third party insurance program in which Reserve participated.</w:t>
      </w:r>
      <w:r>
        <w:rPr>
          <w:rStyle w:val="EndnoteReference"/>
          <w:rFonts w:ascii="Times New Roman" w:hAnsi="Times New Roman" w:cs="Times New Roman"/>
          <w:sz w:val="24"/>
          <w:szCs w:val="24"/>
        </w:rPr>
        <w:endnoteReference w:id="30"/>
      </w:r>
      <w:r>
        <w:rPr>
          <w:rFonts w:ascii="Times New Roman" w:hAnsi="Times New Roman" w:cs="Times New Roman"/>
          <w:sz w:val="24"/>
          <w:szCs w:val="24"/>
        </w:rPr>
        <w:t xml:space="preserve">  Finally, unchallenged documentary evidence was received from yet another FCAS actuary who actuarially priced the insurance pool.</w:t>
      </w:r>
      <w:r>
        <w:rPr>
          <w:rStyle w:val="EndnoteReference"/>
          <w:rFonts w:ascii="Times New Roman" w:hAnsi="Times New Roman" w:cs="Times New Roman"/>
          <w:sz w:val="24"/>
          <w:szCs w:val="24"/>
        </w:rPr>
        <w:endnoteReference w:id="31"/>
      </w:r>
    </w:p>
    <w:p w14:paraId="7D3D38EC" w14:textId="30BDC406" w:rsidR="00250577" w:rsidRDefault="00250577" w:rsidP="00364083">
      <w:pPr>
        <w:autoSpaceDE w:val="0"/>
        <w:autoSpaceDN w:val="0"/>
        <w:adjustRightInd w:val="0"/>
        <w:spacing w:after="0" w:line="240" w:lineRule="auto"/>
        <w:rPr>
          <w:rFonts w:ascii="Times New Roman" w:hAnsi="Times New Roman" w:cs="Times New Roman"/>
          <w:sz w:val="24"/>
          <w:szCs w:val="24"/>
        </w:rPr>
      </w:pPr>
    </w:p>
    <w:p w14:paraId="7B15F19E" w14:textId="4E29E33F" w:rsidR="00250577" w:rsidRPr="0036725A" w:rsidRDefault="00250577" w:rsidP="0036408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contrast, the government called a single expert, Donald Riggin, a CPCU, who testified on only a narrow range of issues.  Among the issues on which he expressly declined to testify was on the pricing of any insurance policy.</w:t>
      </w:r>
      <w:r>
        <w:rPr>
          <w:rStyle w:val="EndnoteReference"/>
          <w:rFonts w:ascii="Times New Roman" w:hAnsi="Times New Roman" w:cs="Times New Roman"/>
          <w:sz w:val="24"/>
          <w:szCs w:val="24"/>
        </w:rPr>
        <w:endnoteReference w:id="32"/>
      </w:r>
    </w:p>
    <w:p w14:paraId="6DE77A45" w14:textId="77777777" w:rsidR="00250577" w:rsidRPr="0036725A" w:rsidRDefault="00250577" w:rsidP="00364083">
      <w:pPr>
        <w:autoSpaceDE w:val="0"/>
        <w:autoSpaceDN w:val="0"/>
        <w:adjustRightInd w:val="0"/>
        <w:spacing w:after="0" w:line="240" w:lineRule="auto"/>
        <w:rPr>
          <w:rFonts w:ascii="Times New Roman" w:hAnsi="Times New Roman" w:cs="Times New Roman"/>
          <w:sz w:val="24"/>
          <w:szCs w:val="24"/>
        </w:rPr>
      </w:pPr>
    </w:p>
    <w:p w14:paraId="1FA00377" w14:textId="1E17105F" w:rsidR="00250577" w:rsidRDefault="00250577" w:rsidP="000776A2">
      <w:pPr>
        <w:autoSpaceDE w:val="0"/>
        <w:autoSpaceDN w:val="0"/>
        <w:adjustRightInd w:val="0"/>
        <w:spacing w:after="0" w:line="240" w:lineRule="auto"/>
        <w:rPr>
          <w:rFonts w:ascii="Times New Roman" w:hAnsi="Times New Roman" w:cs="Times New Roman"/>
          <w:sz w:val="24"/>
          <w:szCs w:val="24"/>
        </w:rPr>
      </w:pPr>
      <w:r w:rsidRPr="0036725A">
        <w:rPr>
          <w:rFonts w:ascii="Times New Roman" w:hAnsi="Times New Roman" w:cs="Times New Roman"/>
          <w:sz w:val="24"/>
          <w:szCs w:val="24"/>
        </w:rPr>
        <w:t>Reserve</w:t>
      </w:r>
      <w:r>
        <w:rPr>
          <w:rFonts w:ascii="Times New Roman" w:hAnsi="Times New Roman" w:cs="Times New Roman"/>
          <w:sz w:val="24"/>
          <w:szCs w:val="24"/>
        </w:rPr>
        <w:t xml:space="preserve"> called </w:t>
      </w:r>
      <w:r w:rsidRPr="0036725A">
        <w:rPr>
          <w:rFonts w:ascii="Times New Roman" w:hAnsi="Times New Roman" w:cs="Times New Roman"/>
          <w:sz w:val="24"/>
          <w:szCs w:val="24"/>
        </w:rPr>
        <w:t xml:space="preserve">experts </w:t>
      </w:r>
      <w:r>
        <w:rPr>
          <w:rFonts w:ascii="Times New Roman" w:hAnsi="Times New Roman" w:cs="Times New Roman"/>
          <w:sz w:val="24"/>
          <w:szCs w:val="24"/>
        </w:rPr>
        <w:t xml:space="preserve">testifying on the following: (1) </w:t>
      </w:r>
      <w:r w:rsidRPr="0036725A">
        <w:rPr>
          <w:rFonts w:ascii="Times New Roman" w:hAnsi="Times New Roman" w:cs="Times New Roman"/>
          <w:sz w:val="24"/>
          <w:szCs w:val="24"/>
        </w:rPr>
        <w:t xml:space="preserve">that the </w:t>
      </w:r>
      <w:r w:rsidRPr="000776A2">
        <w:rPr>
          <w:rFonts w:ascii="Times New Roman" w:hAnsi="Times New Roman" w:cs="Times New Roman"/>
          <w:sz w:val="24"/>
          <w:szCs w:val="24"/>
        </w:rPr>
        <w:t xml:space="preserve">policies </w:t>
      </w:r>
      <w:r>
        <w:rPr>
          <w:rFonts w:ascii="Times New Roman" w:hAnsi="Times New Roman" w:cs="Times New Roman"/>
          <w:sz w:val="24"/>
          <w:szCs w:val="24"/>
        </w:rPr>
        <w:t xml:space="preserve">underwritten by </w:t>
      </w:r>
      <w:r w:rsidRPr="000776A2">
        <w:rPr>
          <w:rFonts w:ascii="Times New Roman" w:hAnsi="Times New Roman" w:cs="Times New Roman"/>
          <w:sz w:val="24"/>
          <w:szCs w:val="24"/>
        </w:rPr>
        <w:t>Reserve durin</w:t>
      </w:r>
      <w:r>
        <w:rPr>
          <w:rFonts w:ascii="Times New Roman" w:hAnsi="Times New Roman" w:cs="Times New Roman"/>
          <w:sz w:val="24"/>
          <w:szCs w:val="24"/>
        </w:rPr>
        <w:t xml:space="preserve">g </w:t>
      </w:r>
      <w:r w:rsidRPr="000776A2">
        <w:rPr>
          <w:rFonts w:ascii="Times New Roman" w:hAnsi="Times New Roman" w:cs="Times New Roman"/>
          <w:sz w:val="24"/>
          <w:szCs w:val="24"/>
        </w:rPr>
        <w:t xml:space="preserve">2008, 2009 and 2010 covered insurable risks of </w:t>
      </w:r>
      <w:r>
        <w:rPr>
          <w:rFonts w:ascii="Times New Roman" w:hAnsi="Times New Roman" w:cs="Times New Roman"/>
          <w:sz w:val="24"/>
          <w:szCs w:val="24"/>
        </w:rPr>
        <w:t>Peak and other insureds (both affiliated and not),</w:t>
      </w:r>
      <w:r w:rsidRPr="000776A2">
        <w:rPr>
          <w:rFonts w:ascii="Times New Roman" w:hAnsi="Times New Roman" w:cs="Times New Roman"/>
          <w:sz w:val="24"/>
          <w:szCs w:val="24"/>
        </w:rPr>
        <w:t xml:space="preserve"> </w:t>
      </w:r>
      <w:r>
        <w:rPr>
          <w:rFonts w:ascii="Times New Roman" w:hAnsi="Times New Roman" w:cs="Times New Roman"/>
          <w:sz w:val="24"/>
          <w:szCs w:val="24"/>
        </w:rPr>
        <w:t>which</w:t>
      </w:r>
      <w:r w:rsidRPr="000776A2">
        <w:rPr>
          <w:rFonts w:ascii="Times New Roman" w:hAnsi="Times New Roman" w:cs="Times New Roman"/>
          <w:sz w:val="24"/>
          <w:szCs w:val="24"/>
        </w:rPr>
        <w:t xml:space="preserve"> were risks that the insurance industry considers to be insurable risks</w:t>
      </w:r>
      <w:r>
        <w:rPr>
          <w:rStyle w:val="EndnoteReference"/>
          <w:rFonts w:ascii="Times New Roman" w:hAnsi="Times New Roman" w:cs="Times New Roman"/>
          <w:sz w:val="24"/>
          <w:szCs w:val="24"/>
        </w:rPr>
        <w:endnoteReference w:id="33"/>
      </w:r>
      <w:r>
        <w:rPr>
          <w:rFonts w:ascii="Times New Roman" w:hAnsi="Times New Roman" w:cs="Times New Roman"/>
          <w:sz w:val="24"/>
          <w:szCs w:val="24"/>
        </w:rPr>
        <w:t xml:space="preserve"> and which would be widely recognized by academics and insurance professionals as insurable risks</w:t>
      </w:r>
      <w:r>
        <w:rPr>
          <w:rStyle w:val="EndnoteReference"/>
          <w:rFonts w:ascii="Times New Roman" w:hAnsi="Times New Roman" w:cs="Times New Roman"/>
          <w:sz w:val="24"/>
          <w:szCs w:val="24"/>
        </w:rPr>
        <w:endnoteReference w:id="34"/>
      </w:r>
      <w:r>
        <w:rPr>
          <w:rFonts w:ascii="Times New Roman" w:hAnsi="Times New Roman" w:cs="Times New Roman"/>
          <w:sz w:val="24"/>
          <w:szCs w:val="24"/>
        </w:rPr>
        <w:t>, (2) that the premiums charged for each of the policies written by Reserve were reasonable</w:t>
      </w:r>
      <w:r>
        <w:rPr>
          <w:rStyle w:val="EndnoteReference"/>
          <w:rFonts w:ascii="Times New Roman" w:hAnsi="Times New Roman" w:cs="Times New Roman"/>
          <w:sz w:val="24"/>
          <w:szCs w:val="24"/>
        </w:rPr>
        <w:endnoteReference w:id="35"/>
      </w:r>
      <w:r>
        <w:rPr>
          <w:rFonts w:ascii="Times New Roman" w:hAnsi="Times New Roman" w:cs="Times New Roman"/>
          <w:sz w:val="24"/>
          <w:szCs w:val="24"/>
        </w:rPr>
        <w:t>, (3) that Reserve was regulated in a manner consistent with the laws of a United Kingdom territory (Anguilla), which were similar to those of the State of Delaware cite, and that the policies issued by Reserve transferred “insurance risk” in accordance with such laws,</w:t>
      </w:r>
      <w:r>
        <w:rPr>
          <w:rStyle w:val="EndnoteReference"/>
          <w:rFonts w:ascii="Times New Roman" w:hAnsi="Times New Roman" w:cs="Times New Roman"/>
          <w:sz w:val="24"/>
          <w:szCs w:val="24"/>
        </w:rPr>
        <w:endnoteReference w:id="36"/>
      </w:r>
      <w:r>
        <w:rPr>
          <w:rFonts w:ascii="Times New Roman" w:hAnsi="Times New Roman" w:cs="Times New Roman"/>
          <w:sz w:val="24"/>
          <w:szCs w:val="24"/>
        </w:rPr>
        <w:t xml:space="preserve"> (4) that Reserve was adequately capitalized in a manner that satisfied both domicile law and regulatory norms,</w:t>
      </w:r>
      <w:r>
        <w:rPr>
          <w:rStyle w:val="EndnoteReference"/>
          <w:rFonts w:ascii="Times New Roman" w:hAnsi="Times New Roman" w:cs="Times New Roman"/>
          <w:sz w:val="24"/>
          <w:szCs w:val="24"/>
        </w:rPr>
        <w:endnoteReference w:id="37"/>
      </w:r>
      <w:r>
        <w:rPr>
          <w:rFonts w:ascii="Times New Roman" w:hAnsi="Times New Roman" w:cs="Times New Roman"/>
          <w:sz w:val="24"/>
          <w:szCs w:val="24"/>
        </w:rPr>
        <w:t xml:space="preserve"> and  </w:t>
      </w:r>
      <w:r w:rsidRPr="006675F1">
        <w:rPr>
          <w:rFonts w:ascii="Times New Roman" w:hAnsi="Times New Roman" w:cs="Times New Roman"/>
          <w:sz w:val="24"/>
          <w:szCs w:val="24"/>
        </w:rPr>
        <w:t>(5) that Reserve was in compliance with all applicable financial accounting principles.</w:t>
      </w:r>
      <w:r>
        <w:rPr>
          <w:rStyle w:val="EndnoteReference"/>
          <w:rFonts w:ascii="Times New Roman" w:hAnsi="Times New Roman" w:cs="Times New Roman"/>
          <w:sz w:val="24"/>
          <w:szCs w:val="24"/>
        </w:rPr>
        <w:endnoteReference w:id="38"/>
      </w:r>
      <w:r>
        <w:rPr>
          <w:rFonts w:ascii="Times New Roman" w:hAnsi="Times New Roman" w:cs="Times New Roman"/>
          <w:sz w:val="24"/>
          <w:szCs w:val="24"/>
        </w:rPr>
        <w:t xml:space="preserve">  </w:t>
      </w:r>
    </w:p>
    <w:p w14:paraId="31C16EFF" w14:textId="77777777" w:rsidR="00250577" w:rsidRDefault="00250577" w:rsidP="000776A2">
      <w:pPr>
        <w:autoSpaceDE w:val="0"/>
        <w:autoSpaceDN w:val="0"/>
        <w:adjustRightInd w:val="0"/>
        <w:spacing w:after="0" w:line="240" w:lineRule="auto"/>
        <w:rPr>
          <w:rFonts w:ascii="Times New Roman" w:hAnsi="Times New Roman" w:cs="Times New Roman"/>
          <w:sz w:val="24"/>
          <w:szCs w:val="24"/>
        </w:rPr>
      </w:pPr>
    </w:p>
    <w:p w14:paraId="167B18E0" w14:textId="7BAEBC38" w:rsidR="00250577" w:rsidRDefault="00250577" w:rsidP="000776A2">
      <w:pPr>
        <w:autoSpaceDE w:val="0"/>
        <w:autoSpaceDN w:val="0"/>
        <w:adjustRightInd w:val="0"/>
        <w:spacing w:after="0" w:line="240" w:lineRule="auto"/>
        <w:rPr>
          <w:rFonts w:ascii="Times New Roman" w:hAnsi="Times New Roman" w:cs="Times New Roman"/>
          <w:sz w:val="24"/>
          <w:szCs w:val="24"/>
        </w:rPr>
      </w:pPr>
      <w:r w:rsidRPr="0036725A">
        <w:rPr>
          <w:rFonts w:ascii="Times New Roman" w:hAnsi="Times New Roman" w:cs="Times New Roman"/>
          <w:sz w:val="24"/>
          <w:szCs w:val="24"/>
        </w:rPr>
        <w:t xml:space="preserve">Before the captive’s policies were bound and issued, </w:t>
      </w:r>
      <w:r>
        <w:rPr>
          <w:rFonts w:ascii="Times New Roman" w:hAnsi="Times New Roman" w:cs="Times New Roman"/>
          <w:sz w:val="24"/>
          <w:szCs w:val="24"/>
        </w:rPr>
        <w:t xml:space="preserve">the insurance underwriters conducted </w:t>
      </w:r>
      <w:r w:rsidRPr="0036725A">
        <w:rPr>
          <w:rFonts w:ascii="Times New Roman" w:hAnsi="Times New Roman" w:cs="Times New Roman"/>
          <w:sz w:val="24"/>
          <w:szCs w:val="24"/>
        </w:rPr>
        <w:t xml:space="preserve">an on-site examination in northeastern Idaho of the insureds’ </w:t>
      </w:r>
      <w:r>
        <w:rPr>
          <w:rFonts w:ascii="Times New Roman" w:hAnsi="Times New Roman" w:cs="Times New Roman"/>
          <w:sz w:val="24"/>
          <w:szCs w:val="24"/>
        </w:rPr>
        <w:t xml:space="preserve">operations, resulting in a feasibility study report being </w:t>
      </w:r>
      <w:r w:rsidRPr="0036725A">
        <w:rPr>
          <w:rFonts w:ascii="Times New Roman" w:hAnsi="Times New Roman" w:cs="Times New Roman"/>
          <w:sz w:val="24"/>
          <w:szCs w:val="24"/>
        </w:rPr>
        <w:t xml:space="preserve">jointly authored </w:t>
      </w:r>
      <w:r>
        <w:rPr>
          <w:rFonts w:ascii="Times New Roman" w:hAnsi="Times New Roman" w:cs="Times New Roman"/>
          <w:sz w:val="24"/>
          <w:szCs w:val="24"/>
        </w:rPr>
        <w:t xml:space="preserve">by </w:t>
      </w:r>
      <w:hyperlink r:id="rId12" w:history="1">
        <w:r w:rsidRPr="00673C78">
          <w:rPr>
            <w:rStyle w:val="Hyperlink"/>
            <w:rFonts w:ascii="Times New Roman" w:hAnsi="Times New Roman" w:cs="Times New Roman"/>
            <w:sz w:val="24"/>
            <w:szCs w:val="24"/>
          </w:rPr>
          <w:t>Willis</w:t>
        </w:r>
      </w:hyperlink>
      <w:r>
        <w:rPr>
          <w:rFonts w:ascii="Times New Roman" w:hAnsi="Times New Roman" w:cs="Times New Roman"/>
          <w:sz w:val="24"/>
          <w:szCs w:val="24"/>
        </w:rPr>
        <w:t xml:space="preserve">, </w:t>
      </w:r>
      <w:r w:rsidRPr="0036725A">
        <w:rPr>
          <w:rFonts w:ascii="Times New Roman" w:hAnsi="Times New Roman" w:cs="Times New Roman"/>
          <w:sz w:val="24"/>
          <w:szCs w:val="24"/>
        </w:rPr>
        <w:t>an independent global risk advisory firm</w:t>
      </w:r>
      <w:r>
        <w:rPr>
          <w:rFonts w:ascii="Times New Roman" w:hAnsi="Times New Roman" w:cs="Times New Roman"/>
          <w:sz w:val="24"/>
          <w:szCs w:val="24"/>
        </w:rPr>
        <w:t>, and Capstone</w:t>
      </w:r>
      <w:r w:rsidRPr="0036725A">
        <w:rPr>
          <w:rFonts w:ascii="Times New Roman" w:hAnsi="Times New Roman" w:cs="Times New Roman"/>
          <w:sz w:val="24"/>
          <w:szCs w:val="24"/>
        </w:rPr>
        <w:t>.</w:t>
      </w:r>
    </w:p>
    <w:p w14:paraId="475E1548" w14:textId="77777777" w:rsidR="00250577" w:rsidRDefault="00250577" w:rsidP="000776A2">
      <w:pPr>
        <w:autoSpaceDE w:val="0"/>
        <w:autoSpaceDN w:val="0"/>
        <w:adjustRightInd w:val="0"/>
        <w:spacing w:after="0" w:line="240" w:lineRule="auto"/>
        <w:rPr>
          <w:rFonts w:ascii="Times New Roman" w:hAnsi="Times New Roman" w:cs="Times New Roman"/>
          <w:sz w:val="24"/>
          <w:szCs w:val="24"/>
        </w:rPr>
      </w:pPr>
    </w:p>
    <w:p w14:paraId="644A8F7E" w14:textId="0B75F5A9" w:rsidR="00250577" w:rsidRPr="0036725A" w:rsidRDefault="00250577" w:rsidP="000776A2">
      <w:pPr>
        <w:autoSpaceDE w:val="0"/>
        <w:autoSpaceDN w:val="0"/>
        <w:adjustRightInd w:val="0"/>
        <w:spacing w:after="0" w:line="240" w:lineRule="auto"/>
        <w:rPr>
          <w:rFonts w:ascii="Times New Roman" w:hAnsi="Times New Roman" w:cs="Times New Roman"/>
          <w:sz w:val="24"/>
          <w:szCs w:val="24"/>
        </w:rPr>
      </w:pPr>
      <w:r w:rsidRPr="0036725A">
        <w:rPr>
          <w:rFonts w:ascii="Times New Roman" w:hAnsi="Times New Roman" w:cs="Times New Roman"/>
          <w:sz w:val="24"/>
          <w:szCs w:val="24"/>
        </w:rPr>
        <w:t>No</w:t>
      </w:r>
      <w:r>
        <w:rPr>
          <w:rFonts w:ascii="Times New Roman" w:hAnsi="Times New Roman" w:cs="Times New Roman"/>
          <w:sz w:val="24"/>
          <w:szCs w:val="24"/>
        </w:rPr>
        <w:t>ne of Reserve’s direct written</w:t>
      </w:r>
      <w:r w:rsidRPr="0036725A">
        <w:rPr>
          <w:rFonts w:ascii="Times New Roman" w:hAnsi="Times New Roman" w:cs="Times New Roman"/>
          <w:sz w:val="24"/>
          <w:szCs w:val="24"/>
        </w:rPr>
        <w:t xml:space="preserve"> policies duplicated </w:t>
      </w:r>
      <w:r>
        <w:rPr>
          <w:rFonts w:ascii="Times New Roman" w:hAnsi="Times New Roman" w:cs="Times New Roman"/>
          <w:sz w:val="24"/>
          <w:szCs w:val="24"/>
        </w:rPr>
        <w:t xml:space="preserve">any of Peak’s </w:t>
      </w:r>
      <w:r w:rsidRPr="0036725A">
        <w:rPr>
          <w:rFonts w:ascii="Times New Roman" w:hAnsi="Times New Roman" w:cs="Times New Roman"/>
          <w:sz w:val="24"/>
          <w:szCs w:val="24"/>
        </w:rPr>
        <w:t>coverages</w:t>
      </w:r>
      <w:r>
        <w:rPr>
          <w:rFonts w:ascii="Times New Roman" w:hAnsi="Times New Roman" w:cs="Times New Roman"/>
          <w:sz w:val="24"/>
          <w:szCs w:val="24"/>
        </w:rPr>
        <w:t xml:space="preserve"> under commercial policies</w:t>
      </w:r>
      <w:r w:rsidRPr="0036725A">
        <w:rPr>
          <w:rFonts w:ascii="Times New Roman" w:hAnsi="Times New Roman" w:cs="Times New Roman"/>
          <w:sz w:val="24"/>
          <w:szCs w:val="24"/>
        </w:rPr>
        <w:t>.</w:t>
      </w:r>
      <w:r w:rsidRPr="0036725A">
        <w:rPr>
          <w:rStyle w:val="EndnoteReference"/>
          <w:rFonts w:ascii="Times New Roman" w:hAnsi="Times New Roman" w:cs="Times New Roman"/>
          <w:sz w:val="24"/>
          <w:szCs w:val="24"/>
        </w:rPr>
        <w:endnoteReference w:id="39"/>
      </w:r>
    </w:p>
    <w:p w14:paraId="1B6FBA4E" w14:textId="77777777" w:rsidR="00250577" w:rsidRPr="0036725A" w:rsidRDefault="00250577" w:rsidP="00364083">
      <w:pPr>
        <w:autoSpaceDE w:val="0"/>
        <w:autoSpaceDN w:val="0"/>
        <w:adjustRightInd w:val="0"/>
        <w:spacing w:after="0" w:line="240" w:lineRule="auto"/>
        <w:rPr>
          <w:rFonts w:ascii="Times New Roman" w:hAnsi="Times New Roman" w:cs="Times New Roman"/>
          <w:sz w:val="24"/>
          <w:szCs w:val="24"/>
        </w:rPr>
      </w:pPr>
    </w:p>
    <w:p w14:paraId="284AFA89" w14:textId="006D1751" w:rsidR="00250577" w:rsidRPr="0036725A" w:rsidRDefault="00250577" w:rsidP="00F644F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noted briefly above, </w:t>
      </w:r>
      <w:r w:rsidR="00B41A36" w:rsidRPr="0036725A">
        <w:rPr>
          <w:rFonts w:ascii="Times New Roman" w:hAnsi="Times New Roman" w:cs="Times New Roman"/>
          <w:sz w:val="24"/>
          <w:szCs w:val="24"/>
        </w:rPr>
        <w:t>only one substantive witness, presented as an expert</w:t>
      </w:r>
      <w:r w:rsidR="00B41A36">
        <w:rPr>
          <w:rFonts w:ascii="Times New Roman" w:hAnsi="Times New Roman" w:cs="Times New Roman"/>
          <w:sz w:val="24"/>
          <w:szCs w:val="24"/>
        </w:rPr>
        <w:t xml:space="preserve"> with </w:t>
      </w:r>
      <w:r w:rsidR="00B41A36" w:rsidRPr="0036725A">
        <w:rPr>
          <w:rFonts w:ascii="Times New Roman" w:hAnsi="Times New Roman" w:cs="Times New Roman"/>
          <w:sz w:val="24"/>
          <w:szCs w:val="24"/>
        </w:rPr>
        <w:t>a CPCU</w:t>
      </w:r>
      <w:r w:rsidR="00B41A36">
        <w:rPr>
          <w:rFonts w:ascii="Times New Roman" w:hAnsi="Times New Roman" w:cs="Times New Roman"/>
          <w:sz w:val="24"/>
          <w:szCs w:val="24"/>
        </w:rPr>
        <w:t xml:space="preserve"> designation</w:t>
      </w:r>
      <w:r w:rsidR="00EB07D3">
        <w:rPr>
          <w:rFonts w:ascii="Times New Roman" w:hAnsi="Times New Roman" w:cs="Times New Roman"/>
          <w:sz w:val="24"/>
          <w:szCs w:val="24"/>
        </w:rPr>
        <w:t>,</w:t>
      </w:r>
      <w:r w:rsidR="00B41A36">
        <w:rPr>
          <w:rFonts w:ascii="Times New Roman" w:hAnsi="Times New Roman" w:cs="Times New Roman"/>
          <w:sz w:val="24"/>
          <w:szCs w:val="24"/>
        </w:rPr>
        <w:t xml:space="preserve"> </w:t>
      </w:r>
      <w:r w:rsidR="00EB07D3">
        <w:rPr>
          <w:rFonts w:ascii="Times New Roman" w:hAnsi="Times New Roman" w:cs="Times New Roman"/>
          <w:sz w:val="24"/>
          <w:szCs w:val="24"/>
        </w:rPr>
        <w:t>t</w:t>
      </w:r>
      <w:r w:rsidR="00EB07D3" w:rsidRPr="0036725A">
        <w:rPr>
          <w:rFonts w:ascii="Times New Roman" w:hAnsi="Times New Roman" w:cs="Times New Roman"/>
          <w:sz w:val="24"/>
          <w:szCs w:val="24"/>
        </w:rPr>
        <w:t>estif</w:t>
      </w:r>
      <w:r w:rsidR="00EB07D3">
        <w:rPr>
          <w:rFonts w:ascii="Times New Roman" w:hAnsi="Times New Roman" w:cs="Times New Roman"/>
          <w:sz w:val="24"/>
          <w:szCs w:val="24"/>
        </w:rPr>
        <w:t>ied</w:t>
      </w:r>
      <w:r w:rsidR="00EB07D3" w:rsidRPr="0036725A">
        <w:rPr>
          <w:rFonts w:ascii="Times New Roman" w:hAnsi="Times New Roman" w:cs="Times New Roman"/>
          <w:sz w:val="24"/>
          <w:szCs w:val="24"/>
        </w:rPr>
        <w:t xml:space="preserve"> </w:t>
      </w:r>
      <w:r w:rsidRPr="0036725A">
        <w:rPr>
          <w:rFonts w:ascii="Times New Roman" w:hAnsi="Times New Roman" w:cs="Times New Roman"/>
          <w:sz w:val="24"/>
          <w:szCs w:val="24"/>
        </w:rPr>
        <w:t>for the government</w:t>
      </w:r>
      <w:r>
        <w:rPr>
          <w:rFonts w:ascii="Times New Roman" w:hAnsi="Times New Roman" w:cs="Times New Roman"/>
          <w:sz w:val="24"/>
          <w:szCs w:val="24"/>
        </w:rPr>
        <w:t xml:space="preserve">.  </w:t>
      </w:r>
      <w:r w:rsidRPr="00531341">
        <w:rPr>
          <w:rFonts w:ascii="Times New Roman" w:hAnsi="Times New Roman" w:cs="Times New Roman"/>
          <w:i/>
          <w:sz w:val="24"/>
          <w:szCs w:val="24"/>
        </w:rPr>
        <w:t>Despite not having an opinion on pricing of any of the policies</w:t>
      </w:r>
      <w:r w:rsidRPr="00405724">
        <w:rPr>
          <w:rFonts w:ascii="Times New Roman" w:hAnsi="Times New Roman" w:cs="Times New Roman"/>
          <w:sz w:val="24"/>
          <w:szCs w:val="24"/>
        </w:rPr>
        <w:t xml:space="preserve"> other than </w:t>
      </w:r>
      <w:r>
        <w:rPr>
          <w:rFonts w:ascii="Times New Roman" w:hAnsi="Times New Roman" w:cs="Times New Roman"/>
          <w:sz w:val="24"/>
          <w:szCs w:val="24"/>
        </w:rPr>
        <w:t xml:space="preserve">conjecture that the policies </w:t>
      </w:r>
      <w:r w:rsidRPr="00405724">
        <w:rPr>
          <w:rFonts w:ascii="Times New Roman" w:hAnsi="Times New Roman" w:cs="Times New Roman"/>
          <w:sz w:val="24"/>
          <w:szCs w:val="24"/>
        </w:rPr>
        <w:t>couldn’t have been correct because the</w:t>
      </w:r>
      <w:r>
        <w:rPr>
          <w:rFonts w:ascii="Times New Roman" w:hAnsi="Times New Roman" w:cs="Times New Roman"/>
          <w:sz w:val="24"/>
          <w:szCs w:val="24"/>
        </w:rPr>
        <w:t>y</w:t>
      </w:r>
      <w:r w:rsidRPr="00405724">
        <w:rPr>
          <w:rFonts w:ascii="Times New Roman" w:hAnsi="Times New Roman" w:cs="Times New Roman"/>
          <w:sz w:val="24"/>
          <w:szCs w:val="24"/>
        </w:rPr>
        <w:t xml:space="preserve"> were not a result of “a formal, quantitative, mathematically-based methodology,”</w:t>
      </w:r>
      <w:r w:rsidRPr="00405724">
        <w:rPr>
          <w:rStyle w:val="EndnoteReference"/>
          <w:rFonts w:ascii="Times New Roman" w:hAnsi="Times New Roman" w:cs="Times New Roman"/>
          <w:sz w:val="24"/>
          <w:szCs w:val="24"/>
        </w:rPr>
        <w:endnoteReference w:id="40"/>
      </w:r>
      <w:r w:rsidRPr="00405724">
        <w:rPr>
          <w:rFonts w:ascii="Times New Roman" w:hAnsi="Times New Roman" w:cs="Times New Roman"/>
          <w:sz w:val="24"/>
          <w:szCs w:val="24"/>
        </w:rPr>
        <w:t xml:space="preserve"> the government’s</w:t>
      </w:r>
      <w:r w:rsidRPr="0036725A">
        <w:rPr>
          <w:rFonts w:ascii="Times New Roman" w:hAnsi="Times New Roman" w:cs="Times New Roman"/>
          <w:sz w:val="24"/>
          <w:szCs w:val="24"/>
        </w:rPr>
        <w:t xml:space="preserve"> witness admitted that</w:t>
      </w:r>
      <w:r>
        <w:rPr>
          <w:rFonts w:ascii="Times New Roman" w:hAnsi="Times New Roman" w:cs="Times New Roman"/>
          <w:sz w:val="24"/>
          <w:szCs w:val="24"/>
        </w:rPr>
        <w:t xml:space="preserve"> at least</w:t>
      </w:r>
      <w:r w:rsidRPr="0036725A">
        <w:rPr>
          <w:rFonts w:ascii="Times New Roman" w:hAnsi="Times New Roman" w:cs="Times New Roman"/>
          <w:sz w:val="24"/>
          <w:szCs w:val="24"/>
        </w:rPr>
        <w:t xml:space="preserve"> 11 of the 14 policies underwritten by </w:t>
      </w:r>
      <w:r w:rsidRPr="009E5FA6">
        <w:rPr>
          <w:rFonts w:ascii="Times New Roman" w:hAnsi="Times New Roman" w:cs="Times New Roman"/>
          <w:sz w:val="24"/>
          <w:szCs w:val="24"/>
        </w:rPr>
        <w:t xml:space="preserve">Reserve would be </w:t>
      </w:r>
      <w:r w:rsidRPr="00122525">
        <w:rPr>
          <w:rFonts w:ascii="Times New Roman" w:hAnsi="Times New Roman" w:cs="Times New Roman"/>
          <w:sz w:val="24"/>
          <w:szCs w:val="24"/>
        </w:rPr>
        <w:t xml:space="preserve">insurance policies </w:t>
      </w:r>
      <w:r>
        <w:rPr>
          <w:rFonts w:ascii="Times New Roman" w:hAnsi="Times New Roman" w:cs="Times New Roman"/>
          <w:sz w:val="24"/>
          <w:szCs w:val="24"/>
        </w:rPr>
        <w:t xml:space="preserve">(at least in part) </w:t>
      </w:r>
      <w:r w:rsidRPr="00122525">
        <w:rPr>
          <w:rFonts w:ascii="Times New Roman" w:hAnsi="Times New Roman" w:cs="Times New Roman"/>
          <w:sz w:val="24"/>
          <w:szCs w:val="24"/>
        </w:rPr>
        <w:t>covering legitimate risks if analytically based premiums could be established for such policies.</w:t>
      </w:r>
      <w:r w:rsidRPr="00122525">
        <w:rPr>
          <w:rStyle w:val="EndnoteReference"/>
          <w:rFonts w:ascii="Times New Roman" w:hAnsi="Times New Roman" w:cs="Times New Roman"/>
          <w:sz w:val="24"/>
          <w:szCs w:val="24"/>
        </w:rPr>
        <w:endnoteReference w:id="41"/>
      </w:r>
      <w:r w:rsidRPr="001225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2525">
        <w:rPr>
          <w:rFonts w:ascii="Times New Roman" w:hAnsi="Times New Roman" w:cs="Times New Roman"/>
          <w:sz w:val="24"/>
          <w:szCs w:val="24"/>
        </w:rPr>
        <w:t>Seven experts (including three actuaries, Dr. Doherty and CPCU McNeel) testified to the contrary regarding the policy pricing methodology asserted by the government’s expert, Riggin.  Government expert Riggin did not provide any testimony on the pricing of Reserve’s direct written</w:t>
      </w:r>
      <w:r>
        <w:rPr>
          <w:rFonts w:ascii="Times New Roman" w:hAnsi="Times New Roman" w:cs="Times New Roman"/>
          <w:sz w:val="24"/>
          <w:szCs w:val="24"/>
        </w:rPr>
        <w:t xml:space="preserve"> policies beyond this conjecture </w:t>
      </w:r>
      <w:r w:rsidRPr="0036725A">
        <w:rPr>
          <w:rFonts w:ascii="Times New Roman" w:hAnsi="Times New Roman" w:cs="Times New Roman"/>
          <w:sz w:val="24"/>
          <w:szCs w:val="24"/>
        </w:rPr>
        <w:t xml:space="preserve">that Reserve couldn’t possibly have priced premiums “correctly” because it likely did not have access to </w:t>
      </w:r>
      <w:r>
        <w:rPr>
          <w:rFonts w:ascii="Times New Roman" w:hAnsi="Times New Roman" w:cs="Times New Roman"/>
          <w:sz w:val="24"/>
          <w:szCs w:val="24"/>
        </w:rPr>
        <w:t>a particular</w:t>
      </w:r>
      <w:r w:rsidRPr="0036725A">
        <w:rPr>
          <w:rFonts w:ascii="Times New Roman" w:hAnsi="Times New Roman" w:cs="Times New Roman"/>
          <w:sz w:val="24"/>
          <w:szCs w:val="24"/>
        </w:rPr>
        <w:t xml:space="preserve"> pricing manual compiled by </w:t>
      </w:r>
      <w:r>
        <w:rPr>
          <w:rFonts w:ascii="Times New Roman" w:hAnsi="Times New Roman" w:cs="Times New Roman"/>
          <w:sz w:val="24"/>
          <w:szCs w:val="24"/>
        </w:rPr>
        <w:t xml:space="preserve">a </w:t>
      </w:r>
      <w:r w:rsidRPr="0036725A">
        <w:rPr>
          <w:rFonts w:ascii="Times New Roman" w:hAnsi="Times New Roman" w:cs="Times New Roman"/>
          <w:sz w:val="24"/>
          <w:szCs w:val="24"/>
        </w:rPr>
        <w:t xml:space="preserve">data analytics company, Verisk Analytics, that </w:t>
      </w:r>
      <w:r>
        <w:rPr>
          <w:rFonts w:ascii="Times New Roman" w:hAnsi="Times New Roman" w:cs="Times New Roman"/>
          <w:sz w:val="24"/>
          <w:szCs w:val="24"/>
        </w:rPr>
        <w:t xml:space="preserve">is one of many publishers of </w:t>
      </w:r>
      <w:r w:rsidRPr="0036725A">
        <w:rPr>
          <w:rFonts w:ascii="Times New Roman" w:hAnsi="Times New Roman" w:cs="Times New Roman"/>
          <w:sz w:val="24"/>
          <w:szCs w:val="24"/>
        </w:rPr>
        <w:t>insurance data and forms for certain standard policies.</w:t>
      </w:r>
      <w:r w:rsidRPr="0036725A">
        <w:rPr>
          <w:rStyle w:val="EndnoteReference"/>
          <w:rFonts w:ascii="Times New Roman" w:hAnsi="Times New Roman" w:cs="Times New Roman"/>
          <w:sz w:val="24"/>
          <w:szCs w:val="24"/>
        </w:rPr>
        <w:endnoteReference w:id="42"/>
      </w:r>
      <w:r w:rsidRPr="0036725A">
        <w:rPr>
          <w:rFonts w:ascii="Times New Roman" w:hAnsi="Times New Roman" w:cs="Times New Roman"/>
          <w:sz w:val="24"/>
          <w:szCs w:val="24"/>
        </w:rPr>
        <w:t xml:space="preserve"> According to </w:t>
      </w:r>
      <w:r>
        <w:rPr>
          <w:rFonts w:ascii="Times New Roman" w:hAnsi="Times New Roman" w:cs="Times New Roman"/>
          <w:sz w:val="24"/>
          <w:szCs w:val="24"/>
        </w:rPr>
        <w:t xml:space="preserve">this </w:t>
      </w:r>
      <w:r w:rsidRPr="0036725A">
        <w:rPr>
          <w:rFonts w:ascii="Times New Roman" w:hAnsi="Times New Roman" w:cs="Times New Roman"/>
          <w:sz w:val="24"/>
          <w:szCs w:val="24"/>
        </w:rPr>
        <w:t>witness, absent access to this Commercial Lines Manual (one of Verisk Analytics</w:t>
      </w:r>
      <w:r>
        <w:rPr>
          <w:rFonts w:ascii="Times New Roman" w:hAnsi="Times New Roman" w:cs="Times New Roman"/>
          <w:sz w:val="24"/>
          <w:szCs w:val="24"/>
        </w:rPr>
        <w:t>’</w:t>
      </w:r>
      <w:r w:rsidRPr="0036725A">
        <w:rPr>
          <w:rFonts w:ascii="Times New Roman" w:hAnsi="Times New Roman" w:cs="Times New Roman"/>
          <w:sz w:val="24"/>
          <w:szCs w:val="24"/>
        </w:rPr>
        <w:t xml:space="preserve"> products), any pricing methodology would require a significant amount of loss data.</w:t>
      </w:r>
      <w:r w:rsidRPr="0036725A">
        <w:rPr>
          <w:rStyle w:val="EndnoteReference"/>
          <w:rFonts w:ascii="Times New Roman" w:hAnsi="Times New Roman" w:cs="Times New Roman"/>
          <w:sz w:val="24"/>
          <w:szCs w:val="24"/>
        </w:rPr>
        <w:endnoteReference w:id="43"/>
      </w:r>
      <w:r>
        <w:rPr>
          <w:rFonts w:ascii="Times New Roman" w:hAnsi="Times New Roman" w:cs="Times New Roman"/>
          <w:sz w:val="24"/>
          <w:szCs w:val="24"/>
        </w:rPr>
        <w:t xml:space="preserve">  Even </w:t>
      </w:r>
      <w:r w:rsidRPr="009E5FA6">
        <w:rPr>
          <w:rFonts w:ascii="Times New Roman" w:hAnsi="Times New Roman" w:cs="Times New Roman"/>
          <w:sz w:val="24"/>
          <w:szCs w:val="24"/>
        </w:rPr>
        <w:t xml:space="preserve">the Court ultimately – if reluctantly – concluded that </w:t>
      </w:r>
      <w:r>
        <w:rPr>
          <w:rFonts w:ascii="Times New Roman" w:hAnsi="Times New Roman" w:cs="Times New Roman"/>
          <w:sz w:val="24"/>
          <w:szCs w:val="24"/>
        </w:rPr>
        <w:t xml:space="preserve">Reserve’s </w:t>
      </w:r>
      <w:r w:rsidRPr="009E5FA6">
        <w:rPr>
          <w:rFonts w:ascii="Times New Roman" w:hAnsi="Times New Roman" w:cs="Times New Roman"/>
          <w:sz w:val="24"/>
          <w:szCs w:val="24"/>
        </w:rPr>
        <w:t>premiums were calculated</w:t>
      </w:r>
      <w:r w:rsidRPr="005A54B4">
        <w:rPr>
          <w:rFonts w:ascii="Times New Roman" w:hAnsi="Times New Roman" w:cs="Times New Roman"/>
          <w:sz w:val="24"/>
          <w:szCs w:val="24"/>
        </w:rPr>
        <w:t xml:space="preserve"> </w:t>
      </w:r>
      <w:r>
        <w:rPr>
          <w:rFonts w:ascii="Times New Roman" w:hAnsi="Times New Roman" w:cs="Times New Roman"/>
          <w:sz w:val="24"/>
          <w:szCs w:val="24"/>
        </w:rPr>
        <w:t>“</w:t>
      </w:r>
      <w:r w:rsidRPr="005A54B4">
        <w:rPr>
          <w:rFonts w:ascii="Times New Roman" w:hAnsi="Times New Roman" w:cs="Times New Roman"/>
          <w:sz w:val="24"/>
          <w:szCs w:val="24"/>
        </w:rPr>
        <w:t>using objective criteria and what appear to be actuarial methods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44"/>
      </w:r>
      <w:r>
        <w:rPr>
          <w:rFonts w:ascii="Times New Roman" w:hAnsi="Times New Roman" w:cs="Times New Roman"/>
          <w:sz w:val="24"/>
          <w:szCs w:val="24"/>
        </w:rPr>
        <w:t xml:space="preserve">  By making this statement in the Opinion, the Court implicitly recognized that at least </w:t>
      </w:r>
      <w:r w:rsidRPr="009C502D">
        <w:rPr>
          <w:rFonts w:ascii="Times New Roman" w:hAnsi="Times New Roman" w:cs="Times New Roman"/>
          <w:sz w:val="24"/>
          <w:szCs w:val="24"/>
        </w:rPr>
        <w:t>11 of 14</w:t>
      </w:r>
      <w:r>
        <w:rPr>
          <w:rFonts w:ascii="Times New Roman" w:hAnsi="Times New Roman" w:cs="Times New Roman"/>
          <w:sz w:val="24"/>
          <w:szCs w:val="24"/>
        </w:rPr>
        <w:t xml:space="preserve"> contracts directly underwritten by Reserve (without regard to the 650+ pooled policies or the Lyndon based </w:t>
      </w:r>
      <w:r w:rsidRPr="0060137F">
        <w:rPr>
          <w:rFonts w:ascii="Times New Roman" w:hAnsi="Times New Roman" w:cs="Times New Roman"/>
          <w:sz w:val="24"/>
          <w:szCs w:val="24"/>
        </w:rPr>
        <w:t xml:space="preserve">reinsurance assumed) were insurance policies </w:t>
      </w:r>
      <w:r>
        <w:rPr>
          <w:rFonts w:ascii="Times New Roman" w:hAnsi="Times New Roman" w:cs="Times New Roman"/>
          <w:sz w:val="24"/>
          <w:szCs w:val="24"/>
        </w:rPr>
        <w:t xml:space="preserve">(in whole or in part) </w:t>
      </w:r>
      <w:r w:rsidRPr="0060137F">
        <w:rPr>
          <w:rFonts w:ascii="Times New Roman" w:hAnsi="Times New Roman" w:cs="Times New Roman"/>
          <w:sz w:val="24"/>
          <w:szCs w:val="24"/>
        </w:rPr>
        <w:t xml:space="preserve">for tax purposes, despite the Court ultimately concluding otherwise </w:t>
      </w:r>
      <w:r>
        <w:rPr>
          <w:rFonts w:ascii="Times New Roman" w:hAnsi="Times New Roman" w:cs="Times New Roman"/>
          <w:sz w:val="24"/>
          <w:szCs w:val="24"/>
        </w:rPr>
        <w:t xml:space="preserve">across the board </w:t>
      </w:r>
      <w:r w:rsidRPr="0060137F">
        <w:rPr>
          <w:rFonts w:ascii="Times New Roman" w:hAnsi="Times New Roman" w:cs="Times New Roman"/>
          <w:sz w:val="24"/>
          <w:szCs w:val="24"/>
        </w:rPr>
        <w:t>in the Opinion.</w:t>
      </w:r>
    </w:p>
    <w:p w14:paraId="5F7A1616" w14:textId="77777777" w:rsidR="00250577" w:rsidRPr="0036725A" w:rsidRDefault="00250577" w:rsidP="00364083">
      <w:pPr>
        <w:autoSpaceDE w:val="0"/>
        <w:autoSpaceDN w:val="0"/>
        <w:adjustRightInd w:val="0"/>
        <w:spacing w:after="0" w:line="240" w:lineRule="auto"/>
        <w:rPr>
          <w:rFonts w:ascii="Times New Roman" w:hAnsi="Times New Roman" w:cs="Times New Roman"/>
          <w:sz w:val="24"/>
          <w:szCs w:val="24"/>
        </w:rPr>
      </w:pPr>
    </w:p>
    <w:p w14:paraId="69AE2C4C" w14:textId="77777777" w:rsidR="00250577" w:rsidRPr="0036725A" w:rsidRDefault="00250577" w:rsidP="00364083">
      <w:pPr>
        <w:autoSpaceDE w:val="0"/>
        <w:autoSpaceDN w:val="0"/>
        <w:adjustRightInd w:val="0"/>
        <w:spacing w:after="0" w:line="240" w:lineRule="auto"/>
        <w:rPr>
          <w:rFonts w:ascii="Times New Roman" w:hAnsi="Times New Roman" w:cs="Times New Roman"/>
          <w:b/>
          <w:sz w:val="24"/>
          <w:szCs w:val="24"/>
        </w:rPr>
      </w:pPr>
      <w:r w:rsidRPr="0036725A">
        <w:rPr>
          <w:rFonts w:ascii="Times New Roman" w:hAnsi="Times New Roman" w:cs="Times New Roman"/>
          <w:b/>
          <w:sz w:val="24"/>
          <w:szCs w:val="24"/>
        </w:rPr>
        <w:t>Parties Before the Court</w:t>
      </w:r>
    </w:p>
    <w:p w14:paraId="59E64570" w14:textId="77777777" w:rsidR="00250577" w:rsidRPr="0036725A" w:rsidRDefault="00250577" w:rsidP="00364083">
      <w:pPr>
        <w:autoSpaceDE w:val="0"/>
        <w:autoSpaceDN w:val="0"/>
        <w:adjustRightInd w:val="0"/>
        <w:spacing w:after="0" w:line="240" w:lineRule="auto"/>
        <w:rPr>
          <w:rFonts w:ascii="Times New Roman" w:hAnsi="Times New Roman" w:cs="Times New Roman"/>
          <w:b/>
          <w:sz w:val="24"/>
          <w:szCs w:val="24"/>
          <w:u w:val="single"/>
        </w:rPr>
      </w:pPr>
    </w:p>
    <w:p w14:paraId="7AFD3408" w14:textId="50A9D24B" w:rsidR="00250577" w:rsidRDefault="00250577" w:rsidP="00364083">
      <w:pPr>
        <w:autoSpaceDE w:val="0"/>
        <w:autoSpaceDN w:val="0"/>
        <w:adjustRightInd w:val="0"/>
        <w:spacing w:after="0" w:line="240" w:lineRule="auto"/>
        <w:rPr>
          <w:rFonts w:ascii="Times New Roman" w:hAnsi="Times New Roman" w:cs="Times New Roman"/>
          <w:sz w:val="24"/>
          <w:szCs w:val="24"/>
        </w:rPr>
      </w:pPr>
      <w:r w:rsidRPr="0036725A">
        <w:rPr>
          <w:rFonts w:ascii="Times New Roman" w:hAnsi="Times New Roman" w:cs="Times New Roman"/>
          <w:sz w:val="24"/>
          <w:szCs w:val="24"/>
        </w:rPr>
        <w:t>Only Reserve</w:t>
      </w:r>
      <w:r>
        <w:rPr>
          <w:rFonts w:ascii="Times New Roman" w:hAnsi="Times New Roman" w:cs="Times New Roman"/>
          <w:sz w:val="24"/>
          <w:szCs w:val="24"/>
        </w:rPr>
        <w:t>, the insurer,</w:t>
      </w:r>
      <w:r w:rsidRPr="0036725A">
        <w:rPr>
          <w:rFonts w:ascii="Times New Roman" w:hAnsi="Times New Roman" w:cs="Times New Roman"/>
          <w:sz w:val="24"/>
          <w:szCs w:val="24"/>
        </w:rPr>
        <w:t xml:space="preserve"> </w:t>
      </w:r>
      <w:r w:rsidRPr="00D258A1">
        <w:rPr>
          <w:rFonts w:ascii="Times New Roman" w:hAnsi="Times New Roman" w:cs="Times New Roman"/>
          <w:sz w:val="24"/>
          <w:szCs w:val="24"/>
        </w:rPr>
        <w:t xml:space="preserve">was before the Court.  None of (i) the participants in the pooling arrangement or the entity administering the pool, PoolRe Insurance Corp. (“PoolRe”), (ii) any insureds under any of the many hundreds of policies underwritten </w:t>
      </w:r>
      <w:r>
        <w:rPr>
          <w:rFonts w:ascii="Times New Roman" w:hAnsi="Times New Roman" w:cs="Times New Roman"/>
          <w:sz w:val="24"/>
          <w:szCs w:val="24"/>
        </w:rPr>
        <w:t>(</w:t>
      </w:r>
      <w:r w:rsidRPr="00D258A1">
        <w:rPr>
          <w:rFonts w:ascii="Times New Roman" w:hAnsi="Times New Roman" w:cs="Times New Roman"/>
          <w:sz w:val="24"/>
          <w:szCs w:val="24"/>
        </w:rPr>
        <w:t>and reinsured</w:t>
      </w:r>
      <w:r>
        <w:rPr>
          <w:rFonts w:ascii="Times New Roman" w:hAnsi="Times New Roman" w:cs="Times New Roman"/>
          <w:sz w:val="24"/>
          <w:szCs w:val="24"/>
        </w:rPr>
        <w:t>)</w:t>
      </w:r>
      <w:r w:rsidRPr="00D258A1">
        <w:rPr>
          <w:rFonts w:ascii="Times New Roman" w:hAnsi="Times New Roman" w:cs="Times New Roman"/>
          <w:sz w:val="24"/>
          <w:szCs w:val="24"/>
        </w:rPr>
        <w:t xml:space="preserve"> by Reserve, (iii) the beneficial owners of any of the</w:t>
      </w:r>
      <w:r>
        <w:rPr>
          <w:rFonts w:ascii="Times New Roman" w:hAnsi="Times New Roman" w:cs="Times New Roman"/>
          <w:sz w:val="24"/>
          <w:szCs w:val="24"/>
        </w:rPr>
        <w:t xml:space="preserve"> insureds or (iv) </w:t>
      </w:r>
      <w:r w:rsidRPr="0036725A">
        <w:rPr>
          <w:rFonts w:ascii="Times New Roman" w:hAnsi="Times New Roman" w:cs="Times New Roman"/>
          <w:sz w:val="24"/>
          <w:szCs w:val="24"/>
        </w:rPr>
        <w:t xml:space="preserve">the original ceding insurer </w:t>
      </w:r>
      <w:r>
        <w:rPr>
          <w:rFonts w:ascii="Times New Roman" w:hAnsi="Times New Roman" w:cs="Times New Roman"/>
          <w:sz w:val="24"/>
          <w:szCs w:val="24"/>
        </w:rPr>
        <w:t xml:space="preserve">under the third-party insurance program </w:t>
      </w:r>
      <w:r w:rsidRPr="0036725A">
        <w:rPr>
          <w:rFonts w:ascii="Times New Roman" w:hAnsi="Times New Roman" w:cs="Times New Roman"/>
          <w:sz w:val="24"/>
          <w:szCs w:val="24"/>
        </w:rPr>
        <w:t xml:space="preserve">were parties to the case </w:t>
      </w:r>
      <w:r>
        <w:rPr>
          <w:rFonts w:ascii="Times New Roman" w:hAnsi="Times New Roman" w:cs="Times New Roman"/>
          <w:sz w:val="24"/>
          <w:szCs w:val="24"/>
        </w:rPr>
        <w:t xml:space="preserve">or otherwise before the Court nor were any of these parties deposed by the government. </w:t>
      </w:r>
      <w:r w:rsidRPr="0036725A">
        <w:rPr>
          <w:rFonts w:ascii="Times New Roman" w:hAnsi="Times New Roman" w:cs="Times New Roman"/>
          <w:sz w:val="24"/>
          <w:szCs w:val="24"/>
        </w:rPr>
        <w:t xml:space="preserve"> </w:t>
      </w:r>
    </w:p>
    <w:p w14:paraId="53D2C363" w14:textId="77777777" w:rsidR="00250577" w:rsidRDefault="00250577" w:rsidP="00364083">
      <w:pPr>
        <w:autoSpaceDE w:val="0"/>
        <w:autoSpaceDN w:val="0"/>
        <w:adjustRightInd w:val="0"/>
        <w:spacing w:after="0" w:line="240" w:lineRule="auto"/>
        <w:rPr>
          <w:rFonts w:ascii="Times New Roman" w:hAnsi="Times New Roman" w:cs="Times New Roman"/>
          <w:sz w:val="24"/>
          <w:szCs w:val="24"/>
        </w:rPr>
      </w:pPr>
    </w:p>
    <w:p w14:paraId="7202ADC1" w14:textId="3D0EDE51" w:rsidR="00250577" w:rsidRPr="0036725A" w:rsidRDefault="00250577" w:rsidP="0036408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Despite such and in the face of uncontroverted evidence, </w:t>
      </w:r>
      <w:r w:rsidRPr="0036725A">
        <w:rPr>
          <w:rFonts w:ascii="Times New Roman" w:hAnsi="Times New Roman" w:cs="Times New Roman"/>
          <w:sz w:val="24"/>
          <w:szCs w:val="24"/>
        </w:rPr>
        <w:t xml:space="preserve">the </w:t>
      </w:r>
      <w:r>
        <w:rPr>
          <w:rFonts w:ascii="Times New Roman" w:hAnsi="Times New Roman" w:cs="Times New Roman"/>
          <w:sz w:val="24"/>
          <w:szCs w:val="24"/>
        </w:rPr>
        <w:t>Court</w:t>
      </w:r>
      <w:r w:rsidRPr="0036725A">
        <w:rPr>
          <w:rFonts w:ascii="Times New Roman" w:hAnsi="Times New Roman" w:cs="Times New Roman"/>
          <w:sz w:val="24"/>
          <w:szCs w:val="24"/>
        </w:rPr>
        <w:t xml:space="preserve"> </w:t>
      </w:r>
      <w:r>
        <w:rPr>
          <w:rFonts w:ascii="Times New Roman" w:hAnsi="Times New Roman" w:cs="Times New Roman"/>
          <w:sz w:val="24"/>
          <w:szCs w:val="24"/>
        </w:rPr>
        <w:t>adjudicated issues of non-parties, such as</w:t>
      </w:r>
      <w:r w:rsidRPr="0036725A">
        <w:rPr>
          <w:rFonts w:ascii="Times New Roman" w:hAnsi="Times New Roman" w:cs="Times New Roman"/>
          <w:sz w:val="24"/>
          <w:szCs w:val="24"/>
        </w:rPr>
        <w:t xml:space="preserve"> the </w:t>
      </w:r>
      <w:r>
        <w:rPr>
          <w:rFonts w:ascii="Times New Roman" w:hAnsi="Times New Roman" w:cs="Times New Roman"/>
          <w:sz w:val="24"/>
          <w:szCs w:val="24"/>
        </w:rPr>
        <w:t xml:space="preserve">insurance </w:t>
      </w:r>
      <w:r w:rsidRPr="0036725A">
        <w:rPr>
          <w:rFonts w:ascii="Times New Roman" w:hAnsi="Times New Roman" w:cs="Times New Roman"/>
          <w:sz w:val="24"/>
          <w:szCs w:val="24"/>
        </w:rPr>
        <w:t>pooling</w:t>
      </w:r>
      <w:r>
        <w:rPr>
          <w:rFonts w:ascii="Times New Roman" w:hAnsi="Times New Roman" w:cs="Times New Roman"/>
          <w:sz w:val="24"/>
          <w:szCs w:val="24"/>
        </w:rPr>
        <w:t>/risk diversification</w:t>
      </w:r>
      <w:r w:rsidRPr="0036725A">
        <w:rPr>
          <w:rFonts w:ascii="Times New Roman" w:hAnsi="Times New Roman" w:cs="Times New Roman"/>
          <w:sz w:val="24"/>
          <w:szCs w:val="24"/>
        </w:rPr>
        <w:t xml:space="preserve"> </w:t>
      </w:r>
      <w:r>
        <w:rPr>
          <w:rFonts w:ascii="Times New Roman" w:hAnsi="Times New Roman" w:cs="Times New Roman"/>
          <w:sz w:val="24"/>
          <w:szCs w:val="24"/>
        </w:rPr>
        <w:t xml:space="preserve">program </w:t>
      </w:r>
      <w:r w:rsidRPr="00437BB7">
        <w:rPr>
          <w:rFonts w:ascii="Times New Roman" w:hAnsi="Times New Roman" w:cs="Times New Roman"/>
          <w:sz w:val="24"/>
          <w:szCs w:val="24"/>
        </w:rPr>
        <w:t>administered by PoolRe</w:t>
      </w:r>
      <w:r w:rsidRPr="00437BB7">
        <w:rPr>
          <w:rStyle w:val="EndnoteReference"/>
          <w:rFonts w:ascii="Times New Roman" w:hAnsi="Times New Roman" w:cs="Times New Roman"/>
          <w:sz w:val="24"/>
          <w:szCs w:val="24"/>
        </w:rPr>
        <w:endnoteReference w:id="45"/>
      </w:r>
      <w:r>
        <w:rPr>
          <w:rFonts w:ascii="Times New Roman" w:hAnsi="Times New Roman" w:cs="Times New Roman"/>
          <w:sz w:val="24"/>
          <w:szCs w:val="24"/>
        </w:rPr>
        <w:t>,</w:t>
      </w:r>
      <w:r w:rsidRPr="00437BB7">
        <w:rPr>
          <w:rFonts w:ascii="Times New Roman" w:hAnsi="Times New Roman" w:cs="Times New Roman"/>
          <w:sz w:val="24"/>
          <w:szCs w:val="24"/>
        </w:rPr>
        <w:t xml:space="preserve"> </w:t>
      </w:r>
      <w:r>
        <w:rPr>
          <w:rFonts w:ascii="Times New Roman" w:hAnsi="Times New Roman" w:cs="Times New Roman"/>
          <w:sz w:val="24"/>
          <w:szCs w:val="24"/>
        </w:rPr>
        <w:t xml:space="preserve">rather than limiting findings to </w:t>
      </w:r>
      <w:r w:rsidRPr="00437BB7">
        <w:rPr>
          <w:rFonts w:ascii="Times New Roman" w:hAnsi="Times New Roman" w:cs="Times New Roman"/>
          <w:sz w:val="24"/>
          <w:szCs w:val="24"/>
        </w:rPr>
        <w:t>the only party before the Court.</w:t>
      </w:r>
      <w:r w:rsidRPr="00437BB7">
        <w:rPr>
          <w:rStyle w:val="EndnoteReference"/>
          <w:rFonts w:ascii="Times New Roman" w:hAnsi="Times New Roman" w:cs="Times New Roman"/>
          <w:sz w:val="24"/>
          <w:szCs w:val="24"/>
        </w:rPr>
        <w:endnoteReference w:id="46"/>
      </w:r>
      <w:r>
        <w:rPr>
          <w:rFonts w:ascii="Times New Roman" w:hAnsi="Times New Roman" w:cs="Times New Roman"/>
          <w:sz w:val="24"/>
          <w:szCs w:val="24"/>
        </w:rPr>
        <w:t xml:space="preserve">  The government never challenged PoolRe’s status as an insurer in its post-trial opening brief, with the challenge to PoolRe arising for the first time in the government’s post-trial reply brief, which was filed </w:t>
      </w:r>
      <w:r w:rsidRPr="00E34E9E">
        <w:rPr>
          <w:rFonts w:ascii="Times New Roman" w:hAnsi="Times New Roman" w:cs="Times New Roman"/>
          <w:b/>
          <w:i/>
          <w:sz w:val="24"/>
          <w:szCs w:val="24"/>
        </w:rPr>
        <w:t>after</w:t>
      </w:r>
      <w:r>
        <w:rPr>
          <w:rFonts w:ascii="Times New Roman" w:hAnsi="Times New Roman" w:cs="Times New Roman"/>
          <w:sz w:val="24"/>
          <w:szCs w:val="24"/>
        </w:rPr>
        <w:t xml:space="preserve"> the issuance of the opinion in </w:t>
      </w:r>
      <w:r w:rsidRPr="00E34E9E">
        <w:rPr>
          <w:rFonts w:ascii="Times New Roman" w:hAnsi="Times New Roman" w:cs="Times New Roman"/>
          <w:i/>
          <w:sz w:val="24"/>
          <w:szCs w:val="24"/>
        </w:rPr>
        <w:t>Avrahami</w:t>
      </w:r>
      <w:r>
        <w:rPr>
          <w:rFonts w:ascii="Times New Roman" w:hAnsi="Times New Roman" w:cs="Times New Roman"/>
          <w:sz w:val="24"/>
          <w:szCs w:val="24"/>
        </w:rPr>
        <w:t xml:space="preserve">.  </w:t>
      </w:r>
      <w:r w:rsidRPr="00437BB7">
        <w:rPr>
          <w:rFonts w:ascii="Times New Roman" w:hAnsi="Times New Roman" w:cs="Times New Roman"/>
          <w:sz w:val="24"/>
          <w:szCs w:val="24"/>
        </w:rPr>
        <w:t xml:space="preserve">Neither did the government </w:t>
      </w:r>
      <w:r>
        <w:rPr>
          <w:rFonts w:ascii="Times New Roman" w:hAnsi="Times New Roman" w:cs="Times New Roman"/>
          <w:sz w:val="24"/>
          <w:szCs w:val="24"/>
        </w:rPr>
        <w:t xml:space="preserve">offer any evidence to </w:t>
      </w:r>
      <w:r w:rsidRPr="00437BB7">
        <w:rPr>
          <w:rFonts w:ascii="Times New Roman" w:hAnsi="Times New Roman" w:cs="Times New Roman"/>
          <w:sz w:val="24"/>
          <w:szCs w:val="24"/>
        </w:rPr>
        <w:t xml:space="preserve">challenge </w:t>
      </w:r>
      <w:r>
        <w:rPr>
          <w:rFonts w:ascii="Times New Roman" w:hAnsi="Times New Roman" w:cs="Times New Roman"/>
          <w:sz w:val="24"/>
          <w:szCs w:val="24"/>
        </w:rPr>
        <w:t xml:space="preserve">Lyndon’s </w:t>
      </w:r>
      <w:r w:rsidRPr="00437BB7">
        <w:rPr>
          <w:rFonts w:ascii="Times New Roman" w:hAnsi="Times New Roman" w:cs="Times New Roman"/>
          <w:sz w:val="24"/>
          <w:szCs w:val="24"/>
        </w:rPr>
        <w:t>third-party insurance</w:t>
      </w:r>
      <w:r>
        <w:rPr>
          <w:rFonts w:ascii="Times New Roman" w:hAnsi="Times New Roman" w:cs="Times New Roman"/>
          <w:sz w:val="24"/>
          <w:szCs w:val="24"/>
        </w:rPr>
        <w:t xml:space="preserve"> that was ceded to Reserve from an unaffiliated, </w:t>
      </w:r>
      <w:r w:rsidRPr="00437BB7">
        <w:rPr>
          <w:rFonts w:ascii="Times New Roman" w:hAnsi="Times New Roman" w:cs="Times New Roman"/>
          <w:sz w:val="24"/>
          <w:szCs w:val="24"/>
        </w:rPr>
        <w:t>publicly</w:t>
      </w:r>
      <w:r>
        <w:rPr>
          <w:rFonts w:ascii="Times New Roman" w:hAnsi="Times New Roman" w:cs="Times New Roman"/>
          <w:sz w:val="24"/>
          <w:szCs w:val="24"/>
        </w:rPr>
        <w:t>-</w:t>
      </w:r>
      <w:r w:rsidRPr="00437BB7">
        <w:rPr>
          <w:rFonts w:ascii="Times New Roman" w:hAnsi="Times New Roman" w:cs="Times New Roman"/>
          <w:sz w:val="24"/>
          <w:szCs w:val="24"/>
        </w:rPr>
        <w:t>held commercial carrier, which the Court</w:t>
      </w:r>
      <w:r>
        <w:rPr>
          <w:rFonts w:ascii="Times New Roman" w:hAnsi="Times New Roman" w:cs="Times New Roman"/>
          <w:sz w:val="24"/>
          <w:szCs w:val="24"/>
        </w:rPr>
        <w:t xml:space="preserve"> nonetheless</w:t>
      </w:r>
      <w:r w:rsidRPr="00437BB7">
        <w:rPr>
          <w:rFonts w:ascii="Times New Roman" w:hAnsi="Times New Roman" w:cs="Times New Roman"/>
          <w:sz w:val="24"/>
          <w:szCs w:val="24"/>
        </w:rPr>
        <w:t xml:space="preserve"> also concluded was “not insurance”</w:t>
      </w:r>
      <w:r w:rsidRPr="00437BB7">
        <w:rPr>
          <w:rStyle w:val="EndnoteReference"/>
          <w:rFonts w:ascii="Times New Roman" w:hAnsi="Times New Roman" w:cs="Times New Roman"/>
          <w:sz w:val="24"/>
          <w:szCs w:val="24"/>
        </w:rPr>
        <w:endnoteReference w:id="47"/>
      </w:r>
      <w:r>
        <w:rPr>
          <w:rFonts w:ascii="Times New Roman" w:hAnsi="Times New Roman" w:cs="Times New Roman"/>
          <w:sz w:val="24"/>
          <w:szCs w:val="24"/>
        </w:rPr>
        <w:t xml:space="preserve"> despite this insurance arrangement never being controverted at trial.</w:t>
      </w:r>
      <w:r>
        <w:rPr>
          <w:rStyle w:val="EndnoteReference"/>
          <w:rFonts w:ascii="Times New Roman" w:hAnsi="Times New Roman" w:cs="Times New Roman"/>
          <w:sz w:val="24"/>
          <w:szCs w:val="24"/>
        </w:rPr>
        <w:endnoteReference w:id="48"/>
      </w:r>
      <w:r>
        <w:rPr>
          <w:rFonts w:ascii="Times New Roman" w:hAnsi="Times New Roman" w:cs="Times New Roman"/>
          <w:sz w:val="24"/>
          <w:szCs w:val="24"/>
        </w:rPr>
        <w:t xml:space="preserve">  The Court was clearly erroneous in so finding.</w:t>
      </w:r>
    </w:p>
    <w:p w14:paraId="6BD0BDAC" w14:textId="77777777" w:rsidR="00250577" w:rsidRDefault="00250577" w:rsidP="00364083">
      <w:pPr>
        <w:autoSpaceDE w:val="0"/>
        <w:autoSpaceDN w:val="0"/>
        <w:adjustRightInd w:val="0"/>
        <w:spacing w:after="0" w:line="240" w:lineRule="auto"/>
        <w:rPr>
          <w:rFonts w:ascii="Times New Roman" w:hAnsi="Times New Roman" w:cs="Times New Roman"/>
          <w:sz w:val="24"/>
          <w:szCs w:val="24"/>
        </w:rPr>
      </w:pPr>
    </w:p>
    <w:p w14:paraId="4209535D" w14:textId="77777777" w:rsidR="00250577" w:rsidRPr="00307735" w:rsidRDefault="00250577" w:rsidP="00364083">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Government’s </w:t>
      </w:r>
      <w:r w:rsidRPr="00307735">
        <w:rPr>
          <w:rFonts w:ascii="Times New Roman" w:hAnsi="Times New Roman" w:cs="Times New Roman"/>
          <w:b/>
          <w:sz w:val="24"/>
          <w:szCs w:val="24"/>
        </w:rPr>
        <w:t>“Tax Shelter” and “Business Purpose” Theme</w:t>
      </w:r>
      <w:r>
        <w:rPr>
          <w:rFonts w:ascii="Times New Roman" w:hAnsi="Times New Roman" w:cs="Times New Roman"/>
          <w:b/>
          <w:sz w:val="24"/>
          <w:szCs w:val="24"/>
        </w:rPr>
        <w:t>s</w:t>
      </w:r>
      <w:r w:rsidRPr="00307735">
        <w:rPr>
          <w:rFonts w:ascii="Times New Roman" w:hAnsi="Times New Roman" w:cs="Times New Roman"/>
          <w:b/>
          <w:sz w:val="24"/>
          <w:szCs w:val="24"/>
        </w:rPr>
        <w:t xml:space="preserve"> – Adopted by the Court</w:t>
      </w:r>
      <w:r>
        <w:rPr>
          <w:rFonts w:ascii="Times New Roman" w:hAnsi="Times New Roman" w:cs="Times New Roman"/>
          <w:b/>
          <w:sz w:val="24"/>
          <w:szCs w:val="24"/>
        </w:rPr>
        <w:t xml:space="preserve"> Without Supporting Evidence</w:t>
      </w:r>
    </w:p>
    <w:p w14:paraId="7ACFF591" w14:textId="77777777" w:rsidR="00250577" w:rsidRDefault="00250577" w:rsidP="00364083">
      <w:pPr>
        <w:autoSpaceDE w:val="0"/>
        <w:autoSpaceDN w:val="0"/>
        <w:adjustRightInd w:val="0"/>
        <w:spacing w:after="0" w:line="240" w:lineRule="auto"/>
        <w:rPr>
          <w:rFonts w:ascii="Times New Roman" w:hAnsi="Times New Roman" w:cs="Times New Roman"/>
          <w:sz w:val="24"/>
          <w:szCs w:val="24"/>
        </w:rPr>
      </w:pPr>
    </w:p>
    <w:p w14:paraId="170CB344" w14:textId="743325DC" w:rsidR="00250577" w:rsidRDefault="00250577" w:rsidP="0036408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Fundamentally, </w:t>
      </w:r>
      <w:r w:rsidRPr="000A027E">
        <w:rPr>
          <w:rFonts w:ascii="Times New Roman" w:hAnsi="Times New Roman" w:cs="Times New Roman"/>
          <w:sz w:val="24"/>
          <w:szCs w:val="24"/>
        </w:rPr>
        <w:t xml:space="preserve">the Court seems to have </w:t>
      </w:r>
      <w:r>
        <w:rPr>
          <w:rFonts w:ascii="Times New Roman" w:hAnsi="Times New Roman" w:cs="Times New Roman"/>
          <w:sz w:val="24"/>
          <w:szCs w:val="24"/>
        </w:rPr>
        <w:t xml:space="preserve">adopted </w:t>
      </w:r>
      <w:r w:rsidRPr="000A027E">
        <w:rPr>
          <w:rFonts w:ascii="Times New Roman" w:hAnsi="Times New Roman" w:cs="Times New Roman"/>
          <w:sz w:val="24"/>
          <w:szCs w:val="24"/>
        </w:rPr>
        <w:t xml:space="preserve">the theme articulated by the government </w:t>
      </w:r>
      <w:r w:rsidRPr="000A027E">
        <w:rPr>
          <w:rFonts w:ascii="Times New Roman" w:hAnsi="Times New Roman" w:cs="Times New Roman"/>
          <w:b/>
          <w:i/>
          <w:sz w:val="24"/>
          <w:szCs w:val="24"/>
        </w:rPr>
        <w:t>only in its opening statement</w:t>
      </w:r>
      <w:r w:rsidRPr="000A027E">
        <w:rPr>
          <w:rFonts w:ascii="Times New Roman" w:hAnsi="Times New Roman" w:cs="Times New Roman"/>
          <w:sz w:val="24"/>
          <w:szCs w:val="24"/>
        </w:rPr>
        <w:t xml:space="preserve">, but not carried through </w:t>
      </w:r>
      <w:r>
        <w:rPr>
          <w:rFonts w:ascii="Times New Roman" w:hAnsi="Times New Roman" w:cs="Times New Roman"/>
          <w:sz w:val="24"/>
          <w:szCs w:val="24"/>
        </w:rPr>
        <w:t xml:space="preserve">by </w:t>
      </w:r>
      <w:r w:rsidRPr="000A027E">
        <w:rPr>
          <w:rFonts w:ascii="Times New Roman" w:hAnsi="Times New Roman" w:cs="Times New Roman"/>
          <w:sz w:val="24"/>
          <w:szCs w:val="24"/>
        </w:rPr>
        <w:t xml:space="preserve">any witness or </w:t>
      </w:r>
      <w:r>
        <w:rPr>
          <w:rFonts w:ascii="Times New Roman" w:hAnsi="Times New Roman" w:cs="Times New Roman"/>
          <w:sz w:val="24"/>
          <w:szCs w:val="24"/>
        </w:rPr>
        <w:t xml:space="preserve">in any </w:t>
      </w:r>
      <w:r w:rsidRPr="000A027E">
        <w:rPr>
          <w:rFonts w:ascii="Times New Roman" w:hAnsi="Times New Roman" w:cs="Times New Roman"/>
          <w:sz w:val="24"/>
          <w:szCs w:val="24"/>
        </w:rPr>
        <w:t>documentary evidence.  The government argued in its opening statement that Reserve’s insurance arrangement was essentially a tax shelter</w:t>
      </w:r>
      <w:r w:rsidRPr="00486EA2">
        <w:rPr>
          <w:rFonts w:ascii="Times New Roman" w:hAnsi="Times New Roman" w:cs="Times New Roman"/>
          <w:sz w:val="24"/>
          <w:szCs w:val="24"/>
        </w:rPr>
        <w:t xml:space="preserve"> </w:t>
      </w:r>
      <w:r>
        <w:rPr>
          <w:rFonts w:ascii="Times New Roman" w:hAnsi="Times New Roman" w:cs="Times New Roman"/>
          <w:sz w:val="24"/>
          <w:szCs w:val="24"/>
        </w:rPr>
        <w:t>and that the insurance arrangement did not have a legitimate business purpose.</w:t>
      </w:r>
      <w:r>
        <w:rPr>
          <w:rStyle w:val="EndnoteReference"/>
          <w:rFonts w:ascii="Times New Roman" w:hAnsi="Times New Roman" w:cs="Times New Roman"/>
          <w:sz w:val="24"/>
          <w:szCs w:val="24"/>
        </w:rPr>
        <w:endnoteReference w:id="49"/>
      </w:r>
      <w:r>
        <w:rPr>
          <w:rFonts w:ascii="Times New Roman" w:hAnsi="Times New Roman" w:cs="Times New Roman"/>
          <w:sz w:val="24"/>
          <w:szCs w:val="24"/>
        </w:rPr>
        <w:t xml:space="preserve">  The fact that the insurer was formed and operated pursuant to a statutory provision of the Code, Section 501(c)(15), which was enacted to benefit small property and casualty insurers, did not stop the Court from adopting requirements for insurance never before seen.   </w:t>
      </w:r>
    </w:p>
    <w:p w14:paraId="5D45E748" w14:textId="77777777" w:rsidR="00250577" w:rsidRDefault="00250577" w:rsidP="00364083">
      <w:pPr>
        <w:autoSpaceDE w:val="0"/>
        <w:autoSpaceDN w:val="0"/>
        <w:adjustRightInd w:val="0"/>
        <w:spacing w:after="0" w:line="240" w:lineRule="auto"/>
        <w:rPr>
          <w:rFonts w:ascii="Times New Roman" w:hAnsi="Times New Roman" w:cs="Times New Roman"/>
          <w:sz w:val="24"/>
          <w:szCs w:val="24"/>
        </w:rPr>
      </w:pPr>
    </w:p>
    <w:p w14:paraId="5E64F238" w14:textId="42489893" w:rsidR="00250577" w:rsidRDefault="00250577" w:rsidP="0036408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government’s main arguments at trial </w:t>
      </w:r>
      <w:r w:rsidRPr="00D56ACD">
        <w:rPr>
          <w:rFonts w:ascii="Times New Roman" w:hAnsi="Times New Roman" w:cs="Times New Roman"/>
          <w:sz w:val="24"/>
          <w:szCs w:val="24"/>
        </w:rPr>
        <w:t>focused</w:t>
      </w:r>
      <w:r>
        <w:rPr>
          <w:rFonts w:ascii="Times New Roman" w:hAnsi="Times New Roman" w:cs="Times New Roman"/>
          <w:sz w:val="24"/>
          <w:szCs w:val="24"/>
        </w:rPr>
        <w:t xml:space="preserve"> on whether (1) Reserve sufficiently distributed risk among its </w:t>
      </w:r>
      <w:r w:rsidRPr="0020416F">
        <w:rPr>
          <w:rFonts w:ascii="Times New Roman" w:hAnsi="Times New Roman" w:cs="Times New Roman"/>
          <w:sz w:val="24"/>
          <w:szCs w:val="24"/>
        </w:rPr>
        <w:t>policyholders and (2) the policies written by Reserve were policies of insurance and thus whether its transactions were insurance transactions “in the commonly accepted sense</w:t>
      </w:r>
      <w:r>
        <w:rPr>
          <w:rFonts w:ascii="Times New Roman" w:hAnsi="Times New Roman" w:cs="Times New Roman"/>
          <w:sz w:val="24"/>
          <w:szCs w:val="24"/>
        </w:rPr>
        <w:t>.</w:t>
      </w:r>
      <w:r w:rsidRPr="0020416F">
        <w:rPr>
          <w:rFonts w:ascii="Times New Roman" w:hAnsi="Times New Roman" w:cs="Times New Roman"/>
          <w:sz w:val="24"/>
          <w:szCs w:val="24"/>
        </w:rPr>
        <w:t>”</w:t>
      </w:r>
    </w:p>
    <w:p w14:paraId="4CB7500E" w14:textId="77777777" w:rsidR="00250577" w:rsidRDefault="00250577" w:rsidP="00364083">
      <w:pPr>
        <w:autoSpaceDE w:val="0"/>
        <w:autoSpaceDN w:val="0"/>
        <w:adjustRightInd w:val="0"/>
        <w:spacing w:after="0" w:line="240" w:lineRule="auto"/>
        <w:rPr>
          <w:rFonts w:ascii="Times New Roman" w:hAnsi="Times New Roman" w:cs="Times New Roman"/>
          <w:sz w:val="24"/>
          <w:szCs w:val="24"/>
        </w:rPr>
      </w:pPr>
    </w:p>
    <w:p w14:paraId="76970291" w14:textId="67F4E9BE" w:rsidR="00250577" w:rsidRDefault="00250577" w:rsidP="00364083">
      <w:pPr>
        <w:autoSpaceDE w:val="0"/>
        <w:autoSpaceDN w:val="0"/>
        <w:adjustRightInd w:val="0"/>
        <w:spacing w:after="0" w:line="240" w:lineRule="auto"/>
        <w:rPr>
          <w:rFonts w:ascii="Times New Roman" w:hAnsi="Times New Roman" w:cs="Times New Roman"/>
          <w:sz w:val="24"/>
          <w:szCs w:val="24"/>
        </w:rPr>
      </w:pPr>
      <w:r w:rsidRPr="0020416F">
        <w:rPr>
          <w:rFonts w:ascii="Times New Roman" w:hAnsi="Times New Roman" w:cs="Times New Roman"/>
          <w:sz w:val="24"/>
          <w:szCs w:val="24"/>
        </w:rPr>
        <w:t xml:space="preserve">Neither the testimony of the government’s sole witness nor the cross examination of any of Reserve’s witnesses supported the government’s </w:t>
      </w:r>
      <w:r>
        <w:rPr>
          <w:rFonts w:ascii="Times New Roman" w:hAnsi="Times New Roman" w:cs="Times New Roman"/>
          <w:sz w:val="24"/>
          <w:szCs w:val="24"/>
        </w:rPr>
        <w:t xml:space="preserve">opening </w:t>
      </w:r>
      <w:r w:rsidRPr="0020416F">
        <w:rPr>
          <w:rFonts w:ascii="Times New Roman" w:hAnsi="Times New Roman" w:cs="Times New Roman"/>
          <w:sz w:val="24"/>
          <w:szCs w:val="24"/>
        </w:rPr>
        <w:t xml:space="preserve">theory that the sole purpose of Reserve’s insurance arrangement was to enable Reserve’s owners to “move money from one </w:t>
      </w:r>
      <w:r w:rsidRPr="0030081A">
        <w:rPr>
          <w:rFonts w:ascii="Times New Roman" w:hAnsi="Times New Roman" w:cs="Times New Roman"/>
          <w:sz w:val="24"/>
          <w:szCs w:val="24"/>
        </w:rPr>
        <w:t xml:space="preserve">pocket to another for the sole purpose of reducing their taxable income.”  The Court never </w:t>
      </w:r>
      <w:r>
        <w:rPr>
          <w:rFonts w:ascii="Times New Roman" w:hAnsi="Times New Roman" w:cs="Times New Roman"/>
          <w:sz w:val="24"/>
          <w:szCs w:val="24"/>
        </w:rPr>
        <w:t>acknowledged</w:t>
      </w:r>
      <w:r w:rsidRPr="0030081A">
        <w:rPr>
          <w:rFonts w:ascii="Times New Roman" w:hAnsi="Times New Roman" w:cs="Times New Roman"/>
          <w:sz w:val="24"/>
          <w:szCs w:val="24"/>
        </w:rPr>
        <w:t xml:space="preserve"> that the movement of the monies were from the three insured</w:t>
      </w:r>
      <w:r>
        <w:rPr>
          <w:rFonts w:ascii="Times New Roman" w:hAnsi="Times New Roman" w:cs="Times New Roman"/>
          <w:sz w:val="24"/>
          <w:szCs w:val="24"/>
        </w:rPr>
        <w:t xml:space="preserve">s, each a distinct taxpayer, </w:t>
      </w:r>
      <w:r w:rsidRPr="0030081A">
        <w:rPr>
          <w:rFonts w:ascii="Times New Roman" w:hAnsi="Times New Roman" w:cs="Times New Roman"/>
          <w:sz w:val="24"/>
          <w:szCs w:val="24"/>
        </w:rPr>
        <w:t xml:space="preserve">to Reserve as the </w:t>
      </w:r>
      <w:r>
        <w:rPr>
          <w:rFonts w:ascii="Times New Roman" w:hAnsi="Times New Roman" w:cs="Times New Roman"/>
          <w:sz w:val="24"/>
          <w:szCs w:val="24"/>
        </w:rPr>
        <w:t xml:space="preserve">regulated </w:t>
      </w:r>
      <w:r w:rsidRPr="0030081A">
        <w:rPr>
          <w:rFonts w:ascii="Times New Roman" w:hAnsi="Times New Roman" w:cs="Times New Roman"/>
          <w:sz w:val="24"/>
          <w:szCs w:val="24"/>
        </w:rPr>
        <w:t>insurer</w:t>
      </w:r>
      <w:r>
        <w:rPr>
          <w:rFonts w:ascii="Times New Roman" w:hAnsi="Times New Roman" w:cs="Times New Roman"/>
          <w:sz w:val="24"/>
          <w:szCs w:val="24"/>
        </w:rPr>
        <w:t xml:space="preserve"> and a separate, distinct taxpayer</w:t>
      </w:r>
      <w:r w:rsidRPr="0030081A">
        <w:rPr>
          <w:rFonts w:ascii="Times New Roman" w:hAnsi="Times New Roman" w:cs="Times New Roman"/>
          <w:sz w:val="24"/>
          <w:szCs w:val="24"/>
        </w:rPr>
        <w:t xml:space="preserve">.  </w:t>
      </w:r>
      <w:r>
        <w:rPr>
          <w:rFonts w:ascii="Times New Roman" w:hAnsi="Times New Roman" w:cs="Times New Roman"/>
          <w:sz w:val="24"/>
          <w:szCs w:val="24"/>
        </w:rPr>
        <w:t xml:space="preserve">There can be no reasonable assertion that this is </w:t>
      </w:r>
      <w:r w:rsidRPr="0030081A">
        <w:rPr>
          <w:rFonts w:ascii="Times New Roman" w:hAnsi="Times New Roman" w:cs="Times New Roman"/>
          <w:sz w:val="24"/>
          <w:szCs w:val="24"/>
        </w:rPr>
        <w:t>a “circular flow of funds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50"/>
      </w:r>
      <w:r>
        <w:rPr>
          <w:rFonts w:ascii="Times New Roman" w:hAnsi="Times New Roman" w:cs="Times New Roman"/>
          <w:sz w:val="24"/>
          <w:szCs w:val="24"/>
        </w:rPr>
        <w:t xml:space="preserve">  The Court conflated the common ownership of these entities, disregarding their distinctiveness without explanation.  Yet, in enacting Section 501(c)(15) and Sections 831(a) and (b) of the Code, </w:t>
      </w:r>
      <w:r w:rsidRPr="003B4A1B">
        <w:rPr>
          <w:rFonts w:ascii="Times New Roman" w:hAnsi="Times New Roman" w:cs="Times New Roman"/>
          <w:sz w:val="24"/>
          <w:szCs w:val="24"/>
        </w:rPr>
        <w:t xml:space="preserve">Congress clearly </w:t>
      </w:r>
      <w:r w:rsidRPr="00562CF0">
        <w:rPr>
          <w:rFonts w:ascii="Times New Roman" w:hAnsi="Times New Roman" w:cs="Times New Roman"/>
          <w:sz w:val="24"/>
          <w:szCs w:val="24"/>
        </w:rPr>
        <w:t xml:space="preserve">envisioned </w:t>
      </w:r>
      <w:r>
        <w:rPr>
          <w:rFonts w:ascii="Times New Roman" w:hAnsi="Times New Roman" w:cs="Times New Roman"/>
          <w:sz w:val="24"/>
          <w:szCs w:val="24"/>
        </w:rPr>
        <w:t xml:space="preserve">that </w:t>
      </w:r>
      <w:r w:rsidRPr="00562CF0">
        <w:rPr>
          <w:rFonts w:ascii="Times New Roman" w:hAnsi="Times New Roman" w:cs="Times New Roman"/>
          <w:sz w:val="24"/>
          <w:szCs w:val="24"/>
        </w:rPr>
        <w:t xml:space="preserve">the insureds and the insurer </w:t>
      </w:r>
      <w:r>
        <w:rPr>
          <w:rFonts w:ascii="Times New Roman" w:hAnsi="Times New Roman" w:cs="Times New Roman"/>
          <w:sz w:val="24"/>
          <w:szCs w:val="24"/>
        </w:rPr>
        <w:t>c</w:t>
      </w:r>
      <w:r w:rsidRPr="00562CF0">
        <w:rPr>
          <w:rFonts w:ascii="Times New Roman" w:hAnsi="Times New Roman" w:cs="Times New Roman"/>
          <w:sz w:val="24"/>
          <w:szCs w:val="24"/>
        </w:rPr>
        <w:t>ould be related</w:t>
      </w:r>
      <w:r>
        <w:rPr>
          <w:rFonts w:ascii="Times New Roman" w:hAnsi="Times New Roman" w:cs="Times New Roman"/>
          <w:sz w:val="24"/>
          <w:szCs w:val="24"/>
        </w:rPr>
        <w:t xml:space="preserve"> parties in the typical captive insurance arrangement</w:t>
      </w:r>
      <w:r w:rsidRPr="0033074F">
        <w:rPr>
          <w:rFonts w:ascii="Times New Roman" w:hAnsi="Times New Roman" w:cs="Times New Roman"/>
          <w:sz w:val="24"/>
          <w:szCs w:val="24"/>
        </w:rPr>
        <w:t>.</w:t>
      </w:r>
      <w:r>
        <w:rPr>
          <w:rStyle w:val="EndnoteReference"/>
          <w:rFonts w:ascii="Times New Roman" w:hAnsi="Times New Roman" w:cs="Times New Roman"/>
          <w:sz w:val="24"/>
          <w:szCs w:val="24"/>
        </w:rPr>
        <w:endnoteReference w:id="51"/>
      </w:r>
    </w:p>
    <w:p w14:paraId="33F73E8F" w14:textId="77777777" w:rsidR="00250577" w:rsidRDefault="00250577" w:rsidP="00364083">
      <w:pPr>
        <w:autoSpaceDE w:val="0"/>
        <w:autoSpaceDN w:val="0"/>
        <w:adjustRightInd w:val="0"/>
        <w:spacing w:after="0" w:line="240" w:lineRule="auto"/>
        <w:rPr>
          <w:rFonts w:ascii="Times New Roman" w:hAnsi="Times New Roman" w:cs="Times New Roman"/>
          <w:sz w:val="24"/>
          <w:szCs w:val="24"/>
        </w:rPr>
      </w:pPr>
    </w:p>
    <w:p w14:paraId="5DC69C1B" w14:textId="364A553A" w:rsidR="00250577" w:rsidRDefault="00250577" w:rsidP="0036408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Court seemed offended by the affiliated nature of the arrangement, which, as is the case of an individual retirement plan or a health savings account, can be said to function to “move money from one pocket to another” and is authorized by Congress to do so.  Compliance with federal legislation cannot support a conclusion that the sole purpose of an arrangement is to reduce taxable income, as asserted by the Court, especially when no contrary evidence is offered or cited.</w:t>
      </w:r>
      <w:r>
        <w:rPr>
          <w:rStyle w:val="EndnoteReference"/>
          <w:rFonts w:ascii="Times New Roman" w:hAnsi="Times New Roman" w:cs="Times New Roman"/>
          <w:sz w:val="24"/>
          <w:szCs w:val="24"/>
        </w:rPr>
        <w:endnoteReference w:id="52"/>
      </w:r>
      <w:r>
        <w:rPr>
          <w:rFonts w:ascii="Times New Roman" w:hAnsi="Times New Roman" w:cs="Times New Roman"/>
          <w:sz w:val="24"/>
          <w:szCs w:val="24"/>
        </w:rPr>
        <w:t xml:space="preserve">  The Court reached this erroneous conclusion in the face of many hundreds of insurance policies being underwritten by Reserve to third parties, with </w:t>
      </w:r>
      <w:r w:rsidRPr="00C11BE3">
        <w:rPr>
          <w:rFonts w:ascii="Times New Roman" w:hAnsi="Times New Roman" w:cs="Times New Roman"/>
          <w:sz w:val="24"/>
          <w:szCs w:val="24"/>
        </w:rPr>
        <w:t>$187,891.99</w:t>
      </w:r>
      <w:r>
        <w:rPr>
          <w:rFonts w:ascii="Times New Roman" w:hAnsi="Times New Roman" w:cs="Times New Roman"/>
          <w:sz w:val="24"/>
          <w:szCs w:val="24"/>
        </w:rPr>
        <w:t xml:space="preserve"> of losses being paid by Reserve to unaffiliated parties</w:t>
      </w:r>
      <w:r>
        <w:rPr>
          <w:rStyle w:val="EndnoteReference"/>
          <w:rFonts w:ascii="Times New Roman" w:hAnsi="Times New Roman" w:cs="Times New Roman"/>
          <w:sz w:val="24"/>
          <w:szCs w:val="24"/>
        </w:rPr>
        <w:endnoteReference w:id="53"/>
      </w:r>
      <w:r>
        <w:rPr>
          <w:rFonts w:ascii="Times New Roman" w:hAnsi="Times New Roman" w:cs="Times New Roman"/>
          <w:sz w:val="24"/>
          <w:szCs w:val="24"/>
        </w:rPr>
        <w:t xml:space="preserve"> and </w:t>
      </w:r>
      <w:r w:rsidRPr="0001389A">
        <w:rPr>
          <w:rFonts w:ascii="Times New Roman" w:hAnsi="Times New Roman" w:cs="Times New Roman"/>
          <w:sz w:val="24"/>
          <w:szCs w:val="24"/>
        </w:rPr>
        <w:t xml:space="preserve">$339,880 </w:t>
      </w:r>
      <w:r>
        <w:rPr>
          <w:rFonts w:ascii="Times New Roman" w:hAnsi="Times New Roman" w:cs="Times New Roman"/>
          <w:sz w:val="24"/>
          <w:szCs w:val="24"/>
        </w:rPr>
        <w:t xml:space="preserve">in losses being paid by Reserve to Peak during the three years at issue.  </w:t>
      </w:r>
    </w:p>
    <w:p w14:paraId="275FA7AE" w14:textId="77777777" w:rsidR="00250577" w:rsidRDefault="00250577" w:rsidP="00364083">
      <w:pPr>
        <w:autoSpaceDE w:val="0"/>
        <w:autoSpaceDN w:val="0"/>
        <w:adjustRightInd w:val="0"/>
        <w:spacing w:after="0" w:line="240" w:lineRule="auto"/>
        <w:rPr>
          <w:rFonts w:ascii="Times New Roman" w:hAnsi="Times New Roman" w:cs="Times New Roman"/>
          <w:sz w:val="24"/>
          <w:szCs w:val="24"/>
        </w:rPr>
      </w:pPr>
    </w:p>
    <w:p w14:paraId="1BB078F5" w14:textId="3EB6DF95" w:rsidR="00250577" w:rsidRDefault="00250577" w:rsidP="0036408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3D3552">
        <w:rPr>
          <w:rFonts w:ascii="Times New Roman" w:hAnsi="Times New Roman" w:cs="Times New Roman"/>
          <w:sz w:val="24"/>
          <w:szCs w:val="24"/>
        </w:rPr>
        <w:t xml:space="preserve">Court seemed (improperly) to elevate its subjective view as to the intent of Reserve’s insureds (who </w:t>
      </w:r>
      <w:r>
        <w:rPr>
          <w:rFonts w:ascii="Times New Roman" w:hAnsi="Times New Roman" w:cs="Times New Roman"/>
          <w:sz w:val="24"/>
          <w:szCs w:val="24"/>
        </w:rPr>
        <w:t xml:space="preserve">nonetheless </w:t>
      </w:r>
      <w:r w:rsidRPr="003D3552">
        <w:rPr>
          <w:rFonts w:ascii="Times New Roman" w:hAnsi="Times New Roman" w:cs="Times New Roman"/>
          <w:sz w:val="24"/>
          <w:szCs w:val="24"/>
        </w:rPr>
        <w:t>were not before the Court) over the form and substance of the transaction.  In this unpublished tax court memorandum decis</w:t>
      </w:r>
      <w:r w:rsidRPr="0036725A">
        <w:rPr>
          <w:rFonts w:ascii="Times New Roman" w:hAnsi="Times New Roman" w:cs="Times New Roman"/>
          <w:sz w:val="24"/>
          <w:szCs w:val="24"/>
        </w:rPr>
        <w:t>ion</w:t>
      </w:r>
      <w:r>
        <w:rPr>
          <w:rFonts w:ascii="Times New Roman" w:hAnsi="Times New Roman" w:cs="Times New Roman"/>
          <w:sz w:val="24"/>
          <w:szCs w:val="24"/>
        </w:rPr>
        <w:t>,</w:t>
      </w:r>
      <w:r w:rsidRPr="0036725A">
        <w:rPr>
          <w:rStyle w:val="EndnoteReference"/>
          <w:rFonts w:ascii="Times New Roman" w:hAnsi="Times New Roman" w:cs="Times New Roman"/>
          <w:sz w:val="24"/>
          <w:szCs w:val="24"/>
        </w:rPr>
        <w:endnoteReference w:id="54"/>
      </w:r>
      <w:r w:rsidRPr="0036725A">
        <w:rPr>
          <w:rFonts w:ascii="Times New Roman" w:hAnsi="Times New Roman" w:cs="Times New Roman"/>
          <w:sz w:val="24"/>
          <w:szCs w:val="24"/>
        </w:rPr>
        <w:t xml:space="preserve"> the </w:t>
      </w:r>
      <w:r>
        <w:rPr>
          <w:rFonts w:ascii="Times New Roman" w:hAnsi="Times New Roman" w:cs="Times New Roman"/>
          <w:sz w:val="24"/>
          <w:szCs w:val="24"/>
        </w:rPr>
        <w:t>Court</w:t>
      </w:r>
      <w:r w:rsidRPr="0036725A">
        <w:rPr>
          <w:rFonts w:ascii="Times New Roman" w:hAnsi="Times New Roman" w:cs="Times New Roman"/>
          <w:sz w:val="24"/>
          <w:szCs w:val="24"/>
        </w:rPr>
        <w:t xml:space="preserve"> </w:t>
      </w:r>
      <w:r>
        <w:rPr>
          <w:rFonts w:ascii="Times New Roman" w:hAnsi="Times New Roman" w:cs="Times New Roman"/>
          <w:sz w:val="24"/>
          <w:szCs w:val="24"/>
        </w:rPr>
        <w:t>did not address the testimony of Reserve’s expert and fact witnesses, whose testimony was largely unchallenged.  Among its errors, the Court</w:t>
      </w:r>
      <w:r w:rsidRPr="0036725A">
        <w:rPr>
          <w:rFonts w:ascii="Times New Roman" w:hAnsi="Times New Roman" w:cs="Times New Roman"/>
          <w:sz w:val="24"/>
          <w:szCs w:val="24"/>
        </w:rPr>
        <w:t xml:space="preserve"> </w:t>
      </w:r>
      <w:r w:rsidRPr="0036725A">
        <w:rPr>
          <w:rFonts w:ascii="Times New Roman" w:hAnsi="Times New Roman" w:cs="Times New Roman"/>
          <w:i/>
          <w:sz w:val="24"/>
          <w:szCs w:val="24"/>
        </w:rPr>
        <w:t>sua sponte</w:t>
      </w:r>
      <w:r w:rsidRPr="0036725A">
        <w:rPr>
          <w:rFonts w:ascii="Times New Roman" w:hAnsi="Times New Roman" w:cs="Times New Roman"/>
          <w:sz w:val="24"/>
          <w:szCs w:val="24"/>
        </w:rPr>
        <w:t xml:space="preserve"> imposed a newly announced test </w:t>
      </w:r>
      <w:r w:rsidRPr="0082211B">
        <w:rPr>
          <w:rFonts w:ascii="Times New Roman" w:hAnsi="Times New Roman" w:cs="Times New Roman"/>
          <w:b/>
          <w:i/>
          <w:sz w:val="24"/>
          <w:szCs w:val="24"/>
        </w:rPr>
        <w:t>that a “for-profit” insurance company must satisfy</w:t>
      </w:r>
      <w:r>
        <w:rPr>
          <w:rFonts w:ascii="Times New Roman" w:hAnsi="Times New Roman" w:cs="Times New Roman"/>
          <w:b/>
          <w:i/>
          <w:sz w:val="24"/>
          <w:szCs w:val="24"/>
        </w:rPr>
        <w:t xml:space="preserve">: Its </w:t>
      </w:r>
      <w:r w:rsidRPr="004B27DF">
        <w:rPr>
          <w:rFonts w:ascii="Times New Roman" w:hAnsi="Times New Roman" w:cs="Times New Roman"/>
          <w:b/>
          <w:i/>
          <w:sz w:val="24"/>
          <w:szCs w:val="24"/>
        </w:rPr>
        <w:t>insureds</w:t>
      </w:r>
      <w:r w:rsidRPr="0036725A">
        <w:rPr>
          <w:rFonts w:ascii="Times New Roman" w:hAnsi="Times New Roman" w:cs="Times New Roman"/>
          <w:sz w:val="24"/>
          <w:szCs w:val="24"/>
        </w:rPr>
        <w:t xml:space="preserve"> </w:t>
      </w:r>
      <w:r>
        <w:rPr>
          <w:rFonts w:ascii="Times New Roman" w:hAnsi="Times New Roman" w:cs="Times New Roman"/>
          <w:sz w:val="24"/>
          <w:szCs w:val="24"/>
        </w:rPr>
        <w:t xml:space="preserve">must </w:t>
      </w:r>
      <w:r w:rsidRPr="0036725A">
        <w:rPr>
          <w:rFonts w:ascii="Times New Roman" w:hAnsi="Times New Roman" w:cs="Times New Roman"/>
          <w:sz w:val="24"/>
          <w:szCs w:val="24"/>
        </w:rPr>
        <w:t xml:space="preserve">have a valid business purpose for acquiring policies </w:t>
      </w:r>
      <w:r>
        <w:rPr>
          <w:rFonts w:ascii="Times New Roman" w:hAnsi="Times New Roman" w:cs="Times New Roman"/>
          <w:sz w:val="24"/>
          <w:szCs w:val="24"/>
        </w:rPr>
        <w:t>as a condition of the insurer being an insurance company for tax purposes</w:t>
      </w:r>
      <w:r w:rsidRPr="0036725A">
        <w:rPr>
          <w:rFonts w:ascii="Times New Roman" w:hAnsi="Times New Roman" w:cs="Times New Roman"/>
          <w:sz w:val="24"/>
          <w:szCs w:val="24"/>
        </w:rPr>
        <w:t xml:space="preserve">.  The </w:t>
      </w:r>
      <w:r>
        <w:rPr>
          <w:rFonts w:ascii="Times New Roman" w:hAnsi="Times New Roman" w:cs="Times New Roman"/>
          <w:sz w:val="24"/>
          <w:szCs w:val="24"/>
        </w:rPr>
        <w:t>Court</w:t>
      </w:r>
      <w:r w:rsidRPr="0036725A">
        <w:rPr>
          <w:rFonts w:ascii="Times New Roman" w:hAnsi="Times New Roman" w:cs="Times New Roman"/>
          <w:sz w:val="24"/>
          <w:szCs w:val="24"/>
        </w:rPr>
        <w:t xml:space="preserve"> </w:t>
      </w:r>
      <w:r w:rsidRPr="0036725A">
        <w:rPr>
          <w:rFonts w:ascii="Times New Roman" w:hAnsi="Times New Roman" w:cs="Times New Roman"/>
          <w:sz w:val="24"/>
          <w:szCs w:val="24"/>
        </w:rPr>
        <w:lastRenderedPageBreak/>
        <w:t>implicitly found that it is not sufficient for a “for</w:t>
      </w:r>
      <w:r>
        <w:rPr>
          <w:rFonts w:ascii="Times New Roman" w:hAnsi="Times New Roman" w:cs="Times New Roman"/>
          <w:sz w:val="24"/>
          <w:szCs w:val="24"/>
        </w:rPr>
        <w:t>-</w:t>
      </w:r>
      <w:r w:rsidRPr="0036725A">
        <w:rPr>
          <w:rFonts w:ascii="Times New Roman" w:hAnsi="Times New Roman" w:cs="Times New Roman"/>
          <w:sz w:val="24"/>
          <w:szCs w:val="24"/>
        </w:rPr>
        <w:t xml:space="preserve">profit” insurance </w:t>
      </w:r>
      <w:r w:rsidRPr="00BE12F0">
        <w:rPr>
          <w:rFonts w:ascii="Times New Roman" w:hAnsi="Times New Roman" w:cs="Times New Roman"/>
          <w:sz w:val="24"/>
          <w:szCs w:val="24"/>
        </w:rPr>
        <w:t xml:space="preserve">company to have as its “business purpose” its desire to earn a profit from underwriting insurance policies and investing its reserves in a profitable manner.  Rather, according to the Court, the insurer must delve into “why” an insurance policy is being purchased by a prospective insured.  In the absence of </w:t>
      </w:r>
      <w:r>
        <w:rPr>
          <w:rFonts w:ascii="Times New Roman" w:hAnsi="Times New Roman" w:cs="Times New Roman"/>
          <w:sz w:val="24"/>
          <w:szCs w:val="24"/>
        </w:rPr>
        <w:t xml:space="preserve">a non-party </w:t>
      </w:r>
      <w:r w:rsidRPr="00BE12F0">
        <w:rPr>
          <w:rFonts w:ascii="Times New Roman" w:hAnsi="Times New Roman" w:cs="Times New Roman"/>
          <w:sz w:val="24"/>
          <w:szCs w:val="24"/>
        </w:rPr>
        <w:t xml:space="preserve">satisfying </w:t>
      </w:r>
      <w:r>
        <w:rPr>
          <w:rFonts w:ascii="Times New Roman" w:hAnsi="Times New Roman" w:cs="Times New Roman"/>
          <w:sz w:val="24"/>
          <w:szCs w:val="24"/>
        </w:rPr>
        <w:t>a c</w:t>
      </w:r>
      <w:r w:rsidRPr="00BE12F0">
        <w:rPr>
          <w:rFonts w:ascii="Times New Roman" w:hAnsi="Times New Roman" w:cs="Times New Roman"/>
          <w:sz w:val="24"/>
          <w:szCs w:val="24"/>
        </w:rPr>
        <w:t xml:space="preserve">ourt as to this subjective test, </w:t>
      </w:r>
      <w:r>
        <w:rPr>
          <w:rFonts w:ascii="Times New Roman" w:hAnsi="Times New Roman" w:cs="Times New Roman"/>
          <w:sz w:val="24"/>
          <w:szCs w:val="24"/>
        </w:rPr>
        <w:t xml:space="preserve">despite such not even being a trial issue, </w:t>
      </w:r>
      <w:r w:rsidRPr="00BE12F0">
        <w:rPr>
          <w:rFonts w:ascii="Times New Roman" w:hAnsi="Times New Roman" w:cs="Times New Roman"/>
          <w:sz w:val="24"/>
          <w:szCs w:val="24"/>
        </w:rPr>
        <w:t xml:space="preserve">a policy issuer (according to the Court) fails </w:t>
      </w:r>
      <w:r>
        <w:rPr>
          <w:rFonts w:ascii="Times New Roman" w:hAnsi="Times New Roman" w:cs="Times New Roman"/>
          <w:sz w:val="24"/>
          <w:szCs w:val="24"/>
        </w:rPr>
        <w:t xml:space="preserve">to be </w:t>
      </w:r>
      <w:r w:rsidRPr="00BE12F0">
        <w:rPr>
          <w:rFonts w:ascii="Times New Roman" w:hAnsi="Times New Roman" w:cs="Times New Roman"/>
          <w:sz w:val="24"/>
          <w:szCs w:val="24"/>
        </w:rPr>
        <w:t xml:space="preserve">an insurer.  The Court imputed its view of the subjective motive of the insureds onto the insurer, looking into the psyche of the </w:t>
      </w:r>
      <w:r>
        <w:rPr>
          <w:rFonts w:ascii="Times New Roman" w:hAnsi="Times New Roman" w:cs="Times New Roman"/>
          <w:sz w:val="24"/>
          <w:szCs w:val="24"/>
        </w:rPr>
        <w:t xml:space="preserve">non-party </w:t>
      </w:r>
      <w:r w:rsidRPr="00BE12F0">
        <w:rPr>
          <w:rFonts w:ascii="Times New Roman" w:hAnsi="Times New Roman" w:cs="Times New Roman"/>
          <w:sz w:val="24"/>
          <w:szCs w:val="24"/>
        </w:rPr>
        <w:t xml:space="preserve">insureds, to challenge the existence of this subjective intent.  The Court nowhere explained </w:t>
      </w:r>
      <w:r>
        <w:rPr>
          <w:rFonts w:ascii="Times New Roman" w:hAnsi="Times New Roman" w:cs="Times New Roman"/>
          <w:sz w:val="24"/>
          <w:szCs w:val="24"/>
        </w:rPr>
        <w:t xml:space="preserve">from </w:t>
      </w:r>
      <w:r w:rsidRPr="00BE12F0">
        <w:rPr>
          <w:rFonts w:ascii="Times New Roman" w:hAnsi="Times New Roman" w:cs="Times New Roman"/>
          <w:sz w:val="24"/>
          <w:szCs w:val="24"/>
        </w:rPr>
        <w:t xml:space="preserve">where this new </w:t>
      </w:r>
      <w:r>
        <w:rPr>
          <w:rFonts w:ascii="Times New Roman" w:hAnsi="Times New Roman" w:cs="Times New Roman"/>
          <w:sz w:val="24"/>
          <w:szCs w:val="24"/>
        </w:rPr>
        <w:t xml:space="preserve">announced </w:t>
      </w:r>
      <w:r w:rsidRPr="00BE12F0">
        <w:rPr>
          <w:rFonts w:ascii="Times New Roman" w:hAnsi="Times New Roman" w:cs="Times New Roman"/>
          <w:sz w:val="24"/>
          <w:szCs w:val="24"/>
        </w:rPr>
        <w:t xml:space="preserve">concept </w:t>
      </w:r>
      <w:r>
        <w:rPr>
          <w:rFonts w:ascii="Times New Roman" w:hAnsi="Times New Roman" w:cs="Times New Roman"/>
          <w:sz w:val="24"/>
          <w:szCs w:val="24"/>
        </w:rPr>
        <w:t xml:space="preserve">emanated. </w:t>
      </w:r>
      <w:r w:rsidRPr="00BE12F0">
        <w:rPr>
          <w:rFonts w:ascii="Times New Roman" w:hAnsi="Times New Roman" w:cs="Times New Roman"/>
          <w:sz w:val="24"/>
          <w:szCs w:val="24"/>
        </w:rPr>
        <w:t>The Court was not limited in its analysis by the fact that the insureds were not parties.</w:t>
      </w:r>
      <w:r>
        <w:rPr>
          <w:rFonts w:ascii="Times New Roman" w:hAnsi="Times New Roman" w:cs="Times New Roman"/>
          <w:sz w:val="24"/>
          <w:szCs w:val="24"/>
        </w:rPr>
        <w:t xml:space="preserve">  Furthermore, the Court went outside the record in choosing to set the bar on a number of issues beyond Reserve’s grasp.</w:t>
      </w:r>
    </w:p>
    <w:p w14:paraId="5C1D1210" w14:textId="77777777" w:rsidR="00250577" w:rsidRDefault="00250577" w:rsidP="00364083">
      <w:pPr>
        <w:autoSpaceDE w:val="0"/>
        <w:autoSpaceDN w:val="0"/>
        <w:adjustRightInd w:val="0"/>
        <w:spacing w:after="0" w:line="240" w:lineRule="auto"/>
        <w:rPr>
          <w:rFonts w:ascii="Times New Roman" w:hAnsi="Times New Roman" w:cs="Times New Roman"/>
          <w:sz w:val="24"/>
          <w:szCs w:val="24"/>
        </w:rPr>
      </w:pPr>
    </w:p>
    <w:p w14:paraId="624ADF74" w14:textId="0930731B" w:rsidR="00250577" w:rsidRDefault="00250577" w:rsidP="0036408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Of even more concern, the Court rejected the uncontradicted articulated reasons of the insureds, as reflected in the independently-produced feasibility study, in the issued policies and in the testimony of Mr. Zumbaum, that the insureds sought out the additional insurance coverage after consultation with its commercial brokers and other advisors, when these coverages were found to be needed but not to be commercially available or were unreasonably priced.</w:t>
      </w:r>
      <w:r>
        <w:rPr>
          <w:rStyle w:val="EndnoteReference"/>
          <w:rFonts w:ascii="Times New Roman" w:hAnsi="Times New Roman" w:cs="Times New Roman"/>
          <w:sz w:val="24"/>
          <w:szCs w:val="24"/>
        </w:rPr>
        <w:endnoteReference w:id="55"/>
      </w:r>
    </w:p>
    <w:p w14:paraId="6D6B57B4" w14:textId="77777777" w:rsidR="00250577" w:rsidRDefault="00250577" w:rsidP="00364083">
      <w:pPr>
        <w:autoSpaceDE w:val="0"/>
        <w:autoSpaceDN w:val="0"/>
        <w:adjustRightInd w:val="0"/>
        <w:spacing w:after="0" w:line="240" w:lineRule="auto"/>
        <w:rPr>
          <w:rFonts w:ascii="Times New Roman" w:hAnsi="Times New Roman" w:cs="Times New Roman"/>
          <w:sz w:val="24"/>
          <w:szCs w:val="24"/>
        </w:rPr>
      </w:pPr>
    </w:p>
    <w:p w14:paraId="4A108A2D" w14:textId="5E2E81A7" w:rsidR="00250577" w:rsidRPr="00A10F38" w:rsidRDefault="00250577" w:rsidP="0036408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Although </w:t>
      </w:r>
      <w:r w:rsidRPr="0036725A">
        <w:rPr>
          <w:rFonts w:ascii="Times New Roman" w:hAnsi="Times New Roman" w:cs="Times New Roman"/>
          <w:sz w:val="24"/>
          <w:szCs w:val="24"/>
        </w:rPr>
        <w:t>the government’s 90-day letter</w:t>
      </w:r>
      <w:r>
        <w:rPr>
          <w:rFonts w:ascii="Times New Roman" w:hAnsi="Times New Roman" w:cs="Times New Roman"/>
          <w:sz w:val="24"/>
          <w:szCs w:val="24"/>
        </w:rPr>
        <w:t xml:space="preserve"> </w:t>
      </w:r>
      <w:r w:rsidRPr="000B048A">
        <w:rPr>
          <w:rFonts w:ascii="Times New Roman" w:hAnsi="Times New Roman" w:cs="Times New Roman"/>
          <w:sz w:val="24"/>
          <w:szCs w:val="24"/>
        </w:rPr>
        <w:t>(“notice of deficiency”)</w:t>
      </w:r>
      <w:r>
        <w:rPr>
          <w:rFonts w:ascii="Times New Roman" w:hAnsi="Times New Roman" w:cs="Times New Roman"/>
          <w:sz w:val="24"/>
          <w:szCs w:val="24"/>
        </w:rPr>
        <w:t xml:space="preserve"> generally alleged that </w:t>
      </w:r>
      <w:r w:rsidRPr="00C01ADE">
        <w:rPr>
          <w:rFonts w:ascii="Times New Roman" w:hAnsi="Times New Roman" w:cs="Times New Roman"/>
          <w:sz w:val="24"/>
          <w:szCs w:val="24"/>
        </w:rPr>
        <w:t>Reserve’s purported insurance</w:t>
      </w:r>
      <w:r>
        <w:rPr>
          <w:rFonts w:ascii="Times New Roman" w:hAnsi="Times New Roman" w:cs="Times New Roman"/>
          <w:sz w:val="24"/>
          <w:szCs w:val="24"/>
        </w:rPr>
        <w:t xml:space="preserve"> </w:t>
      </w:r>
      <w:r w:rsidRPr="00C01ADE">
        <w:rPr>
          <w:rFonts w:ascii="Times New Roman" w:hAnsi="Times New Roman" w:cs="Times New Roman"/>
          <w:sz w:val="24"/>
          <w:szCs w:val="24"/>
        </w:rPr>
        <w:t>transactions and/or reinsurance transactions “lack[ed] economic substance</w:t>
      </w:r>
      <w:r>
        <w:rPr>
          <w:rFonts w:ascii="Times New Roman" w:hAnsi="Times New Roman" w:cs="Times New Roman"/>
          <w:sz w:val="24"/>
          <w:szCs w:val="24"/>
        </w:rPr>
        <w:t>,</w:t>
      </w:r>
      <w:r w:rsidRPr="00C01ADE">
        <w:rPr>
          <w:rFonts w:ascii="Times New Roman" w:hAnsi="Times New Roman" w:cs="Times New Roman"/>
          <w:sz w:val="24"/>
          <w:szCs w:val="24"/>
        </w:rPr>
        <w:t>”</w:t>
      </w:r>
      <w:r>
        <w:rPr>
          <w:rStyle w:val="EndnoteReference"/>
          <w:rFonts w:ascii="Times New Roman" w:hAnsi="Times New Roman" w:cs="Times New Roman"/>
          <w:sz w:val="24"/>
          <w:szCs w:val="24"/>
        </w:rPr>
        <w:endnoteReference w:id="56"/>
      </w:r>
      <w:r w:rsidRPr="0036725A">
        <w:rPr>
          <w:rFonts w:ascii="Times New Roman" w:hAnsi="Times New Roman" w:cs="Times New Roman"/>
          <w:sz w:val="24"/>
          <w:szCs w:val="24"/>
        </w:rPr>
        <w:t xml:space="preserve"> </w:t>
      </w:r>
      <w:r>
        <w:rPr>
          <w:rFonts w:ascii="Times New Roman" w:hAnsi="Times New Roman" w:cs="Times New Roman"/>
          <w:sz w:val="24"/>
          <w:szCs w:val="24"/>
        </w:rPr>
        <w:t>t</w:t>
      </w:r>
      <w:r w:rsidRPr="0036725A">
        <w:rPr>
          <w:rFonts w:ascii="Times New Roman" w:hAnsi="Times New Roman" w:cs="Times New Roman"/>
          <w:sz w:val="24"/>
          <w:szCs w:val="24"/>
        </w:rPr>
        <w:t>he government</w:t>
      </w:r>
      <w:r>
        <w:rPr>
          <w:rFonts w:ascii="Times New Roman" w:hAnsi="Times New Roman" w:cs="Times New Roman"/>
          <w:sz w:val="24"/>
          <w:szCs w:val="24"/>
        </w:rPr>
        <w:t xml:space="preserve">’s case at trial </w:t>
      </w:r>
      <w:r w:rsidRPr="0036725A">
        <w:rPr>
          <w:rFonts w:ascii="Times New Roman" w:hAnsi="Times New Roman" w:cs="Times New Roman"/>
          <w:sz w:val="24"/>
          <w:szCs w:val="24"/>
        </w:rPr>
        <w:t>did not</w:t>
      </w:r>
      <w:r>
        <w:rPr>
          <w:rFonts w:ascii="Times New Roman" w:hAnsi="Times New Roman" w:cs="Times New Roman"/>
          <w:sz w:val="24"/>
          <w:szCs w:val="24"/>
        </w:rPr>
        <w:t xml:space="preserve"> address</w:t>
      </w:r>
      <w:r w:rsidRPr="0036725A">
        <w:rPr>
          <w:rFonts w:ascii="Times New Roman" w:hAnsi="Times New Roman" w:cs="Times New Roman"/>
          <w:sz w:val="24"/>
          <w:szCs w:val="24"/>
        </w:rPr>
        <w:t xml:space="preserve"> the subjective intent of the insureds or the</w:t>
      </w:r>
      <w:r>
        <w:rPr>
          <w:rFonts w:ascii="Times New Roman" w:hAnsi="Times New Roman" w:cs="Times New Roman"/>
          <w:sz w:val="24"/>
          <w:szCs w:val="24"/>
        </w:rPr>
        <w:t xml:space="preserve"> </w:t>
      </w:r>
      <w:r w:rsidRPr="0036725A">
        <w:rPr>
          <w:rFonts w:ascii="Times New Roman" w:hAnsi="Times New Roman" w:cs="Times New Roman"/>
          <w:sz w:val="24"/>
          <w:szCs w:val="24"/>
        </w:rPr>
        <w:t xml:space="preserve">business purpose of the insurance.  </w:t>
      </w:r>
      <w:r>
        <w:rPr>
          <w:rFonts w:ascii="Times New Roman" w:hAnsi="Times New Roman" w:cs="Times New Roman"/>
          <w:sz w:val="24"/>
          <w:szCs w:val="24"/>
        </w:rPr>
        <w:t>Despite the testimony offered by Reserve’s president, the insurance policies in evidence and the upfront produced feasibility study, t</w:t>
      </w:r>
      <w:r w:rsidRPr="0036725A">
        <w:rPr>
          <w:rFonts w:ascii="Times New Roman" w:hAnsi="Times New Roman" w:cs="Times New Roman"/>
          <w:sz w:val="24"/>
          <w:szCs w:val="24"/>
        </w:rPr>
        <w:t>he whole of the trial transcrip</w:t>
      </w:r>
      <w:r>
        <w:rPr>
          <w:rFonts w:ascii="Times New Roman" w:hAnsi="Times New Roman" w:cs="Times New Roman"/>
          <w:sz w:val="24"/>
          <w:szCs w:val="24"/>
        </w:rPr>
        <w:t xml:space="preserve">t (other than the government’s opening statement) </w:t>
      </w:r>
      <w:r w:rsidRPr="0036725A">
        <w:rPr>
          <w:rFonts w:ascii="Times New Roman" w:hAnsi="Times New Roman" w:cs="Times New Roman"/>
          <w:sz w:val="24"/>
          <w:szCs w:val="24"/>
        </w:rPr>
        <w:t xml:space="preserve">is devoid of </w:t>
      </w:r>
      <w:r>
        <w:rPr>
          <w:rFonts w:ascii="Times New Roman" w:hAnsi="Times New Roman" w:cs="Times New Roman"/>
          <w:sz w:val="24"/>
          <w:szCs w:val="24"/>
        </w:rPr>
        <w:t xml:space="preserve">a government complaint about </w:t>
      </w:r>
      <w:r w:rsidRPr="0036725A">
        <w:rPr>
          <w:rFonts w:ascii="Times New Roman" w:hAnsi="Times New Roman" w:cs="Times New Roman"/>
          <w:sz w:val="24"/>
          <w:szCs w:val="24"/>
        </w:rPr>
        <w:t>“business purpose</w:t>
      </w:r>
      <w:r>
        <w:rPr>
          <w:rFonts w:ascii="Times New Roman" w:hAnsi="Times New Roman" w:cs="Times New Roman"/>
          <w:sz w:val="24"/>
          <w:szCs w:val="24"/>
        </w:rPr>
        <w:t xml:space="preserve">.”  Given the coverages tailored to the Peak insureds by the policies, and the hundreds of thousands of dollars in actual insured losses paid by </w:t>
      </w:r>
      <w:r w:rsidRPr="004F5A6F">
        <w:rPr>
          <w:rFonts w:ascii="Times New Roman" w:hAnsi="Times New Roman" w:cs="Times New Roman"/>
          <w:sz w:val="24"/>
          <w:szCs w:val="24"/>
        </w:rPr>
        <w:t xml:space="preserve">Reserve to its insureds, the </w:t>
      </w:r>
      <w:r>
        <w:rPr>
          <w:rFonts w:ascii="Times New Roman" w:hAnsi="Times New Roman" w:cs="Times New Roman"/>
          <w:sz w:val="24"/>
          <w:szCs w:val="24"/>
        </w:rPr>
        <w:t xml:space="preserve">Court’s ruling on </w:t>
      </w:r>
      <w:r w:rsidRPr="004F5A6F">
        <w:rPr>
          <w:rFonts w:ascii="Times New Roman" w:hAnsi="Times New Roman" w:cs="Times New Roman"/>
          <w:sz w:val="24"/>
          <w:szCs w:val="24"/>
        </w:rPr>
        <w:t xml:space="preserve">lack of business purpose cannot be reconciled </w:t>
      </w:r>
      <w:r>
        <w:rPr>
          <w:rFonts w:ascii="Times New Roman" w:hAnsi="Times New Roman" w:cs="Times New Roman"/>
          <w:sz w:val="24"/>
          <w:szCs w:val="24"/>
        </w:rPr>
        <w:t xml:space="preserve">with the insurance </w:t>
      </w:r>
      <w:r w:rsidRPr="00A10F38">
        <w:rPr>
          <w:rFonts w:ascii="Times New Roman" w:hAnsi="Times New Roman" w:cs="Times New Roman"/>
          <w:sz w:val="24"/>
          <w:szCs w:val="24"/>
        </w:rPr>
        <w:t xml:space="preserve">claims paid by Reserve and </w:t>
      </w:r>
      <w:r>
        <w:rPr>
          <w:rFonts w:ascii="Times New Roman" w:hAnsi="Times New Roman" w:cs="Times New Roman"/>
          <w:sz w:val="24"/>
          <w:szCs w:val="24"/>
        </w:rPr>
        <w:t xml:space="preserve">that </w:t>
      </w:r>
      <w:r w:rsidRPr="00A10F38">
        <w:rPr>
          <w:rFonts w:ascii="Times New Roman" w:hAnsi="Times New Roman" w:cs="Times New Roman"/>
          <w:sz w:val="24"/>
          <w:szCs w:val="24"/>
        </w:rPr>
        <w:t xml:space="preserve">Reserve was operated consistent with </w:t>
      </w:r>
      <w:r>
        <w:rPr>
          <w:rFonts w:ascii="Times New Roman" w:hAnsi="Times New Roman" w:cs="Times New Roman"/>
          <w:sz w:val="24"/>
          <w:szCs w:val="24"/>
        </w:rPr>
        <w:t xml:space="preserve">recognized insurance practices </w:t>
      </w:r>
      <w:r w:rsidRPr="00A10F38">
        <w:rPr>
          <w:rFonts w:ascii="Times New Roman" w:hAnsi="Times New Roman" w:cs="Times New Roman"/>
          <w:sz w:val="24"/>
          <w:szCs w:val="24"/>
        </w:rPr>
        <w:t>and the laws of its domicile.</w:t>
      </w:r>
    </w:p>
    <w:p w14:paraId="32C32775" w14:textId="03CD7119" w:rsidR="00250577" w:rsidRPr="00A10F38" w:rsidRDefault="00250577" w:rsidP="00364083">
      <w:pPr>
        <w:autoSpaceDE w:val="0"/>
        <w:autoSpaceDN w:val="0"/>
        <w:adjustRightInd w:val="0"/>
        <w:spacing w:after="0" w:line="240" w:lineRule="auto"/>
        <w:rPr>
          <w:rFonts w:ascii="Times New Roman" w:hAnsi="Times New Roman" w:cs="Times New Roman"/>
          <w:sz w:val="24"/>
          <w:szCs w:val="24"/>
        </w:rPr>
      </w:pPr>
    </w:p>
    <w:p w14:paraId="3A15F85E" w14:textId="50EDCB1E" w:rsidR="00250577" w:rsidRDefault="00250577" w:rsidP="00364083">
      <w:pPr>
        <w:autoSpaceDE w:val="0"/>
        <w:autoSpaceDN w:val="0"/>
        <w:adjustRightInd w:val="0"/>
        <w:spacing w:after="0" w:line="240" w:lineRule="auto"/>
        <w:rPr>
          <w:rFonts w:ascii="Times New Roman" w:hAnsi="Times New Roman" w:cs="Times New Roman"/>
          <w:sz w:val="24"/>
          <w:szCs w:val="24"/>
        </w:rPr>
      </w:pPr>
      <w:r w:rsidRPr="00A10F38">
        <w:rPr>
          <w:rFonts w:ascii="Times New Roman" w:hAnsi="Times New Roman" w:cs="Times New Roman"/>
          <w:sz w:val="24"/>
          <w:szCs w:val="24"/>
        </w:rPr>
        <w:t>In furtherance of this unexplainable position, the Court</w:t>
      </w:r>
      <w:r>
        <w:rPr>
          <w:rFonts w:ascii="Times New Roman" w:hAnsi="Times New Roman" w:cs="Times New Roman"/>
          <w:sz w:val="24"/>
          <w:szCs w:val="24"/>
        </w:rPr>
        <w:t xml:space="preserve"> </w:t>
      </w:r>
      <w:r w:rsidRPr="00A10F38">
        <w:rPr>
          <w:rFonts w:ascii="Times New Roman" w:hAnsi="Times New Roman" w:cs="Times New Roman"/>
          <w:sz w:val="24"/>
          <w:szCs w:val="24"/>
        </w:rPr>
        <w:t xml:space="preserve">found that Peak did not have a “genuine need” for acquiring </w:t>
      </w:r>
      <w:r w:rsidRPr="0001389A">
        <w:rPr>
          <w:rFonts w:ascii="Times New Roman" w:hAnsi="Times New Roman" w:cs="Times New Roman"/>
          <w:sz w:val="24"/>
          <w:szCs w:val="24"/>
        </w:rPr>
        <w:t>the direct written policies from Reserve</w:t>
      </w:r>
      <w:r w:rsidRPr="0001389A">
        <w:rPr>
          <w:rStyle w:val="EndnoteReference"/>
          <w:rFonts w:ascii="Times New Roman" w:hAnsi="Times New Roman" w:cs="Times New Roman"/>
          <w:sz w:val="24"/>
          <w:szCs w:val="24"/>
        </w:rPr>
        <w:endnoteReference w:id="57"/>
      </w:r>
      <w:r w:rsidRPr="0001389A">
        <w:rPr>
          <w:rFonts w:ascii="Times New Roman" w:hAnsi="Times New Roman" w:cs="Times New Roman"/>
          <w:sz w:val="24"/>
          <w:szCs w:val="24"/>
        </w:rPr>
        <w:t xml:space="preserve"> and then concluded that there was no legitimate business purpose for the policies that Reserve issued to the insureds.</w:t>
      </w:r>
      <w:r w:rsidRPr="0001389A">
        <w:rPr>
          <w:rStyle w:val="EndnoteReference"/>
          <w:rFonts w:ascii="Times New Roman" w:hAnsi="Times New Roman" w:cs="Times New Roman"/>
          <w:sz w:val="24"/>
          <w:szCs w:val="24"/>
        </w:rPr>
        <w:endnoteReference w:id="58"/>
      </w:r>
      <w:r w:rsidRPr="0001389A">
        <w:rPr>
          <w:rFonts w:ascii="Times New Roman" w:hAnsi="Times New Roman" w:cs="Times New Roman"/>
          <w:sz w:val="24"/>
          <w:szCs w:val="24"/>
        </w:rPr>
        <w:t xml:space="preserve">  </w:t>
      </w:r>
      <w:r>
        <w:rPr>
          <w:rFonts w:ascii="Times New Roman" w:hAnsi="Times New Roman" w:cs="Times New Roman"/>
          <w:sz w:val="24"/>
          <w:szCs w:val="24"/>
        </w:rPr>
        <w:t xml:space="preserve">In doing so, </w:t>
      </w:r>
      <w:r w:rsidRPr="0001389A">
        <w:rPr>
          <w:rFonts w:ascii="Times New Roman" w:hAnsi="Times New Roman" w:cs="Times New Roman"/>
          <w:sz w:val="24"/>
          <w:szCs w:val="24"/>
        </w:rPr>
        <w:t xml:space="preserve">the Court stated that it was not reasonable for </w:t>
      </w:r>
      <w:r>
        <w:rPr>
          <w:rFonts w:ascii="Times New Roman" w:hAnsi="Times New Roman" w:cs="Times New Roman"/>
          <w:sz w:val="24"/>
          <w:szCs w:val="24"/>
        </w:rPr>
        <w:t xml:space="preserve">the Peak </w:t>
      </w:r>
      <w:r w:rsidRPr="0001389A">
        <w:rPr>
          <w:rFonts w:ascii="Times New Roman" w:hAnsi="Times New Roman" w:cs="Times New Roman"/>
          <w:sz w:val="24"/>
          <w:szCs w:val="24"/>
        </w:rPr>
        <w:t xml:space="preserve">insureds to acquire a pollution liability policy despite being located in a Superfund site.  </w:t>
      </w:r>
      <w:r>
        <w:rPr>
          <w:rFonts w:ascii="Times New Roman" w:hAnsi="Times New Roman" w:cs="Times New Roman"/>
          <w:sz w:val="24"/>
          <w:szCs w:val="24"/>
        </w:rPr>
        <w:t>A</w:t>
      </w:r>
      <w:r w:rsidRPr="0001389A">
        <w:rPr>
          <w:rFonts w:ascii="Times New Roman" w:hAnsi="Times New Roman" w:cs="Times New Roman"/>
          <w:sz w:val="24"/>
          <w:szCs w:val="24"/>
        </w:rPr>
        <w:t xml:space="preserve">ccording to this Court, </w:t>
      </w:r>
      <w:r>
        <w:rPr>
          <w:rFonts w:ascii="Times New Roman" w:hAnsi="Times New Roman" w:cs="Times New Roman"/>
          <w:sz w:val="24"/>
          <w:szCs w:val="24"/>
        </w:rPr>
        <w:t xml:space="preserve">neither </w:t>
      </w:r>
      <w:r w:rsidRPr="0001389A">
        <w:rPr>
          <w:rFonts w:ascii="Times New Roman" w:hAnsi="Times New Roman" w:cs="Times New Roman"/>
          <w:sz w:val="24"/>
          <w:szCs w:val="24"/>
        </w:rPr>
        <w:t xml:space="preserve">was it reasonable for Reserve to issue a Loss of Major Customer policy to Peak, despite Reserve paying </w:t>
      </w:r>
      <w:r>
        <w:rPr>
          <w:rFonts w:ascii="Times New Roman" w:hAnsi="Times New Roman" w:cs="Times New Roman"/>
          <w:sz w:val="24"/>
          <w:szCs w:val="24"/>
        </w:rPr>
        <w:t xml:space="preserve">a </w:t>
      </w:r>
      <w:r w:rsidRPr="0001389A">
        <w:rPr>
          <w:rFonts w:ascii="Times New Roman" w:hAnsi="Times New Roman" w:cs="Times New Roman"/>
          <w:sz w:val="24"/>
          <w:szCs w:val="24"/>
        </w:rPr>
        <w:t xml:space="preserve">$339,880 </w:t>
      </w:r>
      <w:r>
        <w:rPr>
          <w:rFonts w:ascii="Times New Roman" w:hAnsi="Times New Roman" w:cs="Times New Roman"/>
          <w:sz w:val="24"/>
          <w:szCs w:val="24"/>
        </w:rPr>
        <w:t xml:space="preserve">claim </w:t>
      </w:r>
      <w:r w:rsidRPr="0001389A">
        <w:rPr>
          <w:rFonts w:ascii="Times New Roman" w:hAnsi="Times New Roman" w:cs="Times New Roman"/>
          <w:sz w:val="24"/>
          <w:szCs w:val="24"/>
        </w:rPr>
        <w:t>for loss</w:t>
      </w:r>
      <w:r>
        <w:rPr>
          <w:rFonts w:ascii="Times New Roman" w:hAnsi="Times New Roman" w:cs="Times New Roman"/>
          <w:sz w:val="24"/>
          <w:szCs w:val="24"/>
        </w:rPr>
        <w:t>es</w:t>
      </w:r>
      <w:r w:rsidRPr="0001389A">
        <w:rPr>
          <w:rFonts w:ascii="Times New Roman" w:hAnsi="Times New Roman" w:cs="Times New Roman"/>
          <w:sz w:val="24"/>
          <w:szCs w:val="24"/>
        </w:rPr>
        <w:t xml:space="preserve"> suffered by Peak </w:t>
      </w:r>
      <w:r>
        <w:rPr>
          <w:rFonts w:ascii="Times New Roman" w:hAnsi="Times New Roman" w:cs="Times New Roman"/>
          <w:sz w:val="24"/>
          <w:szCs w:val="24"/>
        </w:rPr>
        <w:t xml:space="preserve">under the terms of the outstanding insurance policy.  On the one </w:t>
      </w:r>
      <w:r w:rsidRPr="00743630">
        <w:rPr>
          <w:rFonts w:ascii="Times New Roman" w:hAnsi="Times New Roman" w:cs="Times New Roman"/>
          <w:sz w:val="24"/>
          <w:szCs w:val="24"/>
        </w:rPr>
        <w:t>hand, the Court treated these losses as taxable income (in fact, taxing them twice as such), and</w:t>
      </w:r>
      <w:r>
        <w:rPr>
          <w:rFonts w:ascii="Times New Roman" w:hAnsi="Times New Roman" w:cs="Times New Roman"/>
          <w:sz w:val="24"/>
          <w:szCs w:val="24"/>
        </w:rPr>
        <w:t>,</w:t>
      </w:r>
      <w:r w:rsidRPr="00743630">
        <w:rPr>
          <w:rFonts w:ascii="Times New Roman" w:hAnsi="Times New Roman" w:cs="Times New Roman"/>
          <w:sz w:val="24"/>
          <w:szCs w:val="24"/>
        </w:rPr>
        <w:t xml:space="preserve"> on the other hand</w:t>
      </w:r>
      <w:r>
        <w:rPr>
          <w:rFonts w:ascii="Times New Roman" w:hAnsi="Times New Roman" w:cs="Times New Roman"/>
          <w:sz w:val="24"/>
          <w:szCs w:val="24"/>
        </w:rPr>
        <w:t>,</w:t>
      </w:r>
      <w:r w:rsidRPr="00743630">
        <w:rPr>
          <w:rFonts w:ascii="Times New Roman" w:hAnsi="Times New Roman" w:cs="Times New Roman"/>
          <w:sz w:val="24"/>
          <w:szCs w:val="24"/>
        </w:rPr>
        <w:t xml:space="preserve"> the Court ignored the claims being paid under the policies as evidence of there being an insurance program in place.</w:t>
      </w:r>
    </w:p>
    <w:p w14:paraId="1CCCC277" w14:textId="77777777" w:rsidR="00250577" w:rsidRDefault="00250577" w:rsidP="00364083">
      <w:pPr>
        <w:autoSpaceDE w:val="0"/>
        <w:autoSpaceDN w:val="0"/>
        <w:adjustRightInd w:val="0"/>
        <w:spacing w:after="0" w:line="240" w:lineRule="auto"/>
        <w:rPr>
          <w:rFonts w:ascii="Times New Roman" w:hAnsi="Times New Roman" w:cs="Times New Roman"/>
          <w:sz w:val="24"/>
          <w:szCs w:val="24"/>
        </w:rPr>
      </w:pPr>
    </w:p>
    <w:p w14:paraId="2FB9F16B" w14:textId="6C1FBC95" w:rsidR="00250577" w:rsidRPr="00541E75" w:rsidRDefault="00250577" w:rsidP="0036408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Carried to its logical next step, a mortgage company would not record revenue on a mortgage not needed by a borrower.  Nor would a health insurer record revenue for a health insurance </w:t>
      </w:r>
      <w:r w:rsidRPr="00541E75">
        <w:rPr>
          <w:rFonts w:ascii="Times New Roman" w:hAnsi="Times New Roman" w:cs="Times New Roman"/>
          <w:sz w:val="24"/>
          <w:szCs w:val="24"/>
        </w:rPr>
        <w:t xml:space="preserve">policy for a healthy 25-year-old who </w:t>
      </w:r>
      <w:r>
        <w:rPr>
          <w:rFonts w:ascii="Times New Roman" w:hAnsi="Times New Roman" w:cs="Times New Roman"/>
          <w:sz w:val="24"/>
          <w:szCs w:val="24"/>
        </w:rPr>
        <w:t>“</w:t>
      </w:r>
      <w:r w:rsidRPr="00541E75">
        <w:rPr>
          <w:rFonts w:ascii="Times New Roman" w:hAnsi="Times New Roman" w:cs="Times New Roman"/>
          <w:sz w:val="24"/>
          <w:szCs w:val="24"/>
        </w:rPr>
        <w:t>doesn’t need</w:t>
      </w:r>
      <w:r>
        <w:rPr>
          <w:rFonts w:ascii="Times New Roman" w:hAnsi="Times New Roman" w:cs="Times New Roman"/>
          <w:sz w:val="24"/>
          <w:szCs w:val="24"/>
        </w:rPr>
        <w:t>”</w:t>
      </w:r>
      <w:r w:rsidRPr="00541E75">
        <w:rPr>
          <w:rFonts w:ascii="Times New Roman" w:hAnsi="Times New Roman" w:cs="Times New Roman"/>
          <w:sz w:val="24"/>
          <w:szCs w:val="24"/>
        </w:rPr>
        <w:t xml:space="preserve"> health insurance.  </w:t>
      </w:r>
      <w:r>
        <w:rPr>
          <w:rFonts w:ascii="Times New Roman" w:hAnsi="Times New Roman" w:cs="Times New Roman"/>
          <w:sz w:val="24"/>
          <w:szCs w:val="24"/>
        </w:rPr>
        <w:t xml:space="preserve">Nor should claims be paid.  </w:t>
      </w:r>
      <w:r w:rsidRPr="00541E75">
        <w:rPr>
          <w:rFonts w:ascii="Times New Roman" w:hAnsi="Times New Roman" w:cs="Times New Roman"/>
          <w:sz w:val="24"/>
          <w:szCs w:val="24"/>
        </w:rPr>
        <w:t xml:space="preserve">The Court’s announcement stands in stark contrast with </w:t>
      </w:r>
      <w:r>
        <w:rPr>
          <w:rFonts w:ascii="Times New Roman" w:hAnsi="Times New Roman" w:cs="Times New Roman"/>
          <w:sz w:val="24"/>
          <w:szCs w:val="24"/>
        </w:rPr>
        <w:t xml:space="preserve">common sense.  The purpose of insurance is </w:t>
      </w:r>
      <w:r>
        <w:rPr>
          <w:rFonts w:ascii="Times New Roman" w:hAnsi="Times New Roman" w:cs="Times New Roman"/>
          <w:sz w:val="24"/>
          <w:szCs w:val="24"/>
        </w:rPr>
        <w:lastRenderedPageBreak/>
        <w:t>to cover insureds’ fortuitous prospective risks</w:t>
      </w:r>
      <w:r w:rsidRPr="00161CAB">
        <w:rPr>
          <w:rStyle w:val="EndnoteReference"/>
          <w:rFonts w:ascii="Times New Roman" w:hAnsi="Times New Roman" w:cs="Times New Roman"/>
          <w:sz w:val="24"/>
          <w:szCs w:val="24"/>
        </w:rPr>
        <w:endnoteReference w:id="59"/>
      </w:r>
      <w:r w:rsidRPr="00161CAB">
        <w:rPr>
          <w:rFonts w:ascii="Times New Roman" w:hAnsi="Times New Roman" w:cs="Times New Roman"/>
          <w:sz w:val="24"/>
          <w:szCs w:val="24"/>
        </w:rPr>
        <w:t xml:space="preserve"> and not risks that the Court</w:t>
      </w:r>
      <w:r>
        <w:rPr>
          <w:rFonts w:ascii="Times New Roman" w:hAnsi="Times New Roman" w:cs="Times New Roman"/>
          <w:sz w:val="24"/>
          <w:szCs w:val="24"/>
        </w:rPr>
        <w:t xml:space="preserve"> rejects, substituting its business judgment for the business judgment of the insureds’ management.</w:t>
      </w:r>
    </w:p>
    <w:p w14:paraId="0B6F568A" w14:textId="77777777" w:rsidR="00250577" w:rsidRPr="00541E75" w:rsidRDefault="00250577" w:rsidP="00364083">
      <w:pPr>
        <w:autoSpaceDE w:val="0"/>
        <w:autoSpaceDN w:val="0"/>
        <w:adjustRightInd w:val="0"/>
        <w:spacing w:after="0" w:line="240" w:lineRule="auto"/>
        <w:rPr>
          <w:rFonts w:ascii="Times New Roman" w:hAnsi="Times New Roman" w:cs="Times New Roman"/>
          <w:sz w:val="24"/>
          <w:szCs w:val="24"/>
        </w:rPr>
      </w:pPr>
    </w:p>
    <w:p w14:paraId="4957963E" w14:textId="01F1D3DA" w:rsidR="00250577" w:rsidRPr="009600B4" w:rsidRDefault="00250577" w:rsidP="002239E7">
      <w:pPr>
        <w:autoSpaceDE w:val="0"/>
        <w:autoSpaceDN w:val="0"/>
        <w:adjustRightInd w:val="0"/>
        <w:spacing w:after="0" w:line="240" w:lineRule="auto"/>
        <w:rPr>
          <w:rFonts w:ascii="Times New Roman" w:hAnsi="Times New Roman"/>
          <w:color w:val="000000" w:themeColor="text1"/>
          <w:sz w:val="24"/>
        </w:rPr>
      </w:pPr>
      <w:r w:rsidRPr="00541E75">
        <w:rPr>
          <w:rFonts w:ascii="Times New Roman" w:hAnsi="Times New Roman" w:cs="Times New Roman"/>
          <w:sz w:val="24"/>
          <w:szCs w:val="24"/>
        </w:rPr>
        <w:t>Th</w:t>
      </w:r>
      <w:r>
        <w:rPr>
          <w:rFonts w:ascii="Times New Roman" w:hAnsi="Times New Roman" w:cs="Times New Roman"/>
          <w:sz w:val="24"/>
          <w:szCs w:val="24"/>
        </w:rPr>
        <w:t xml:space="preserve">is </w:t>
      </w:r>
      <w:r w:rsidRPr="00541E75">
        <w:rPr>
          <w:rFonts w:ascii="Times New Roman" w:hAnsi="Times New Roman" w:cs="Times New Roman"/>
          <w:sz w:val="24"/>
          <w:szCs w:val="24"/>
        </w:rPr>
        <w:t xml:space="preserve">Court’s limited analysis </w:t>
      </w:r>
      <w:r>
        <w:rPr>
          <w:rFonts w:ascii="Times New Roman" w:hAnsi="Times New Roman" w:cs="Times New Roman"/>
          <w:sz w:val="24"/>
          <w:szCs w:val="24"/>
        </w:rPr>
        <w:t xml:space="preserve">in </w:t>
      </w:r>
      <w:r w:rsidRPr="00CD3DA2">
        <w:rPr>
          <w:rFonts w:ascii="Times New Roman" w:hAnsi="Times New Roman" w:cs="Times New Roman"/>
          <w:i/>
          <w:sz w:val="24"/>
          <w:szCs w:val="24"/>
        </w:rPr>
        <w:t>Reserve</w:t>
      </w:r>
      <w:r>
        <w:rPr>
          <w:rFonts w:ascii="Times New Roman" w:hAnsi="Times New Roman" w:cs="Times New Roman"/>
          <w:sz w:val="24"/>
          <w:szCs w:val="24"/>
        </w:rPr>
        <w:t xml:space="preserve"> </w:t>
      </w:r>
      <w:r w:rsidRPr="00541E75">
        <w:rPr>
          <w:rFonts w:ascii="Times New Roman" w:hAnsi="Times New Roman" w:cs="Times New Roman"/>
          <w:sz w:val="24"/>
          <w:szCs w:val="24"/>
        </w:rPr>
        <w:t xml:space="preserve">focused on what the Court thought the law should be – putting itself into </w:t>
      </w:r>
      <w:r>
        <w:rPr>
          <w:rFonts w:ascii="Times New Roman" w:hAnsi="Times New Roman" w:cs="Times New Roman"/>
          <w:sz w:val="24"/>
          <w:szCs w:val="24"/>
        </w:rPr>
        <w:t xml:space="preserve">a </w:t>
      </w:r>
      <w:r w:rsidRPr="00541E75">
        <w:rPr>
          <w:rFonts w:ascii="Times New Roman" w:hAnsi="Times New Roman" w:cs="Times New Roman"/>
          <w:sz w:val="24"/>
          <w:szCs w:val="24"/>
        </w:rPr>
        <w:t>le</w:t>
      </w:r>
      <w:r>
        <w:rPr>
          <w:rFonts w:ascii="Times New Roman" w:hAnsi="Times New Roman" w:cs="Times New Roman"/>
          <w:sz w:val="24"/>
          <w:szCs w:val="24"/>
        </w:rPr>
        <w:t xml:space="preserve">gislative role – despite the taxpayers’ compliance with the substance and form </w:t>
      </w:r>
      <w:r w:rsidRPr="008707D6">
        <w:rPr>
          <w:rFonts w:ascii="Times New Roman" w:hAnsi="Times New Roman" w:cs="Times New Roman"/>
          <w:sz w:val="24"/>
          <w:szCs w:val="24"/>
        </w:rPr>
        <w:t xml:space="preserve">of what has been set out by Congress in legislation and what </w:t>
      </w:r>
      <w:r>
        <w:rPr>
          <w:rFonts w:ascii="Times New Roman" w:hAnsi="Times New Roman" w:cs="Times New Roman"/>
          <w:sz w:val="24"/>
          <w:szCs w:val="24"/>
        </w:rPr>
        <w:t xml:space="preserve">over decades </w:t>
      </w:r>
      <w:r w:rsidRPr="008707D6">
        <w:rPr>
          <w:rFonts w:ascii="Times New Roman" w:hAnsi="Times New Roman" w:cs="Times New Roman"/>
          <w:sz w:val="24"/>
          <w:szCs w:val="24"/>
        </w:rPr>
        <w:t xml:space="preserve">has been interpreted by the courts.  </w:t>
      </w:r>
      <w:r w:rsidRPr="009600B4">
        <w:rPr>
          <w:rFonts w:ascii="Times New Roman" w:hAnsi="Times New Roman"/>
          <w:color w:val="000000" w:themeColor="text1"/>
          <w:sz w:val="24"/>
        </w:rPr>
        <w:t xml:space="preserve">Appellate courts have recently made clear </w:t>
      </w:r>
      <w:r>
        <w:rPr>
          <w:rFonts w:ascii="Times New Roman" w:hAnsi="Times New Roman"/>
          <w:color w:val="000000" w:themeColor="text1"/>
          <w:sz w:val="24"/>
        </w:rPr>
        <w:t xml:space="preserve">to this same Court that its role </w:t>
      </w:r>
      <w:r w:rsidRPr="009600B4">
        <w:rPr>
          <w:rFonts w:ascii="Times New Roman" w:hAnsi="Times New Roman"/>
          <w:color w:val="000000" w:themeColor="text1"/>
          <w:sz w:val="24"/>
        </w:rPr>
        <w:t xml:space="preserve">is not to </w:t>
      </w:r>
      <w:r>
        <w:rPr>
          <w:rFonts w:ascii="Times New Roman" w:hAnsi="Times New Roman"/>
          <w:color w:val="000000" w:themeColor="text1"/>
          <w:sz w:val="24"/>
        </w:rPr>
        <w:t xml:space="preserve">block </w:t>
      </w:r>
      <w:r w:rsidRPr="009600B4">
        <w:rPr>
          <w:rFonts w:ascii="Times New Roman" w:hAnsi="Times New Roman"/>
          <w:color w:val="000000" w:themeColor="text1"/>
          <w:sz w:val="24"/>
        </w:rPr>
        <w:t>Congress</w:t>
      </w:r>
      <w:r>
        <w:rPr>
          <w:rFonts w:ascii="Times New Roman" w:hAnsi="Times New Roman"/>
          <w:color w:val="000000" w:themeColor="text1"/>
          <w:sz w:val="24"/>
        </w:rPr>
        <w:t>’</w:t>
      </w:r>
      <w:r w:rsidRPr="009600B4">
        <w:rPr>
          <w:rFonts w:ascii="Times New Roman" w:hAnsi="Times New Roman"/>
          <w:color w:val="000000" w:themeColor="text1"/>
          <w:sz w:val="24"/>
        </w:rPr>
        <w:t xml:space="preserve"> </w:t>
      </w:r>
      <w:r>
        <w:rPr>
          <w:rFonts w:ascii="Times New Roman" w:hAnsi="Times New Roman" w:cs="Times New Roman"/>
          <w:color w:val="000000" w:themeColor="text1"/>
          <w:sz w:val="24"/>
          <w:szCs w:val="24"/>
        </w:rPr>
        <w:t xml:space="preserve">legislation </w:t>
      </w:r>
      <w:r w:rsidRPr="008707D6">
        <w:rPr>
          <w:rFonts w:ascii="Times New Roman" w:hAnsi="Times New Roman" w:cs="Times New Roman"/>
          <w:color w:val="000000" w:themeColor="text1"/>
          <w:sz w:val="24"/>
          <w:szCs w:val="24"/>
        </w:rPr>
        <w:t>enabling</w:t>
      </w:r>
      <w:r w:rsidRPr="009600B4">
        <w:rPr>
          <w:rFonts w:ascii="Times New Roman" w:hAnsi="Times New Roman"/>
          <w:color w:val="000000" w:themeColor="text1"/>
          <w:sz w:val="24"/>
        </w:rPr>
        <w:t xml:space="preserve"> </w:t>
      </w:r>
      <w:r>
        <w:rPr>
          <w:rFonts w:ascii="Times New Roman" w:hAnsi="Times New Roman"/>
          <w:color w:val="000000" w:themeColor="text1"/>
          <w:sz w:val="24"/>
        </w:rPr>
        <w:t xml:space="preserve">a </w:t>
      </w:r>
      <w:r w:rsidRPr="008707D6">
        <w:rPr>
          <w:rFonts w:ascii="Times New Roman" w:hAnsi="Times New Roman" w:cs="Times New Roman"/>
          <w:color w:val="000000" w:themeColor="text1"/>
          <w:sz w:val="24"/>
          <w:szCs w:val="24"/>
        </w:rPr>
        <w:t>taxpayer</w:t>
      </w:r>
      <w:r w:rsidRPr="009600B4">
        <w:rPr>
          <w:rFonts w:ascii="Times New Roman" w:hAnsi="Times New Roman"/>
          <w:color w:val="000000" w:themeColor="text1"/>
          <w:sz w:val="24"/>
        </w:rPr>
        <w:t xml:space="preserve"> to qualify for tax benefits as a result of satisfying the requirements of the Internal Revenue Code.  </w:t>
      </w:r>
      <w:r>
        <w:rPr>
          <w:rFonts w:ascii="Times New Roman" w:hAnsi="Times New Roman"/>
          <w:color w:val="000000" w:themeColor="text1"/>
          <w:sz w:val="24"/>
        </w:rPr>
        <w:t xml:space="preserve">In </w:t>
      </w:r>
      <w:r w:rsidRPr="009600B4">
        <w:rPr>
          <w:rFonts w:ascii="Times New Roman" w:hAnsi="Times New Roman"/>
          <w:i/>
          <w:color w:val="000000" w:themeColor="text1"/>
          <w:sz w:val="24"/>
        </w:rPr>
        <w:t>Summa Holdings Inc. v</w:t>
      </w:r>
      <w:r w:rsidR="005318CC">
        <w:rPr>
          <w:rFonts w:ascii="Times New Roman" w:hAnsi="Times New Roman"/>
          <w:i/>
          <w:color w:val="000000" w:themeColor="text1"/>
          <w:sz w:val="24"/>
        </w:rPr>
        <w:t>.</w:t>
      </w:r>
      <w:r w:rsidRPr="009600B4">
        <w:rPr>
          <w:rFonts w:ascii="Times New Roman" w:hAnsi="Times New Roman"/>
          <w:i/>
          <w:color w:val="000000" w:themeColor="text1"/>
          <w:sz w:val="24"/>
        </w:rPr>
        <w:t xml:space="preserve"> Commissioner</w:t>
      </w:r>
      <w:r w:rsidRPr="009600B4">
        <w:rPr>
          <w:rFonts w:ascii="Times New Roman" w:hAnsi="Times New Roman"/>
          <w:color w:val="000000" w:themeColor="text1"/>
          <w:sz w:val="24"/>
        </w:rPr>
        <w:t>,</w:t>
      </w:r>
      <w:r w:rsidRPr="009600B4">
        <w:rPr>
          <w:rStyle w:val="EndnoteReference"/>
          <w:rFonts w:ascii="Times New Roman" w:hAnsi="Times New Roman"/>
          <w:color w:val="000000" w:themeColor="text1"/>
          <w:sz w:val="24"/>
        </w:rPr>
        <w:endnoteReference w:id="60"/>
      </w:r>
      <w:r w:rsidRPr="009600B4">
        <w:rPr>
          <w:rFonts w:ascii="Times New Roman" w:hAnsi="Times New Roman"/>
          <w:color w:val="000000" w:themeColor="text1"/>
          <w:sz w:val="24"/>
        </w:rPr>
        <w:t xml:space="preserve"> the Sixth Circuit held that the </w:t>
      </w:r>
      <w:r w:rsidRPr="008707D6">
        <w:rPr>
          <w:rFonts w:ascii="Times New Roman" w:hAnsi="Times New Roman" w:cs="Times New Roman"/>
          <w:color w:val="000000" w:themeColor="text1"/>
          <w:sz w:val="24"/>
          <w:szCs w:val="24"/>
        </w:rPr>
        <w:t>taxpayers were</w:t>
      </w:r>
      <w:r w:rsidRPr="009600B4">
        <w:rPr>
          <w:rFonts w:ascii="Times New Roman" w:hAnsi="Times New Roman"/>
          <w:color w:val="000000" w:themeColor="text1"/>
          <w:sz w:val="24"/>
        </w:rPr>
        <w:t xml:space="preserve"> entitled to use a congressionally </w:t>
      </w:r>
      <w:r w:rsidRPr="008707D6">
        <w:rPr>
          <w:rFonts w:ascii="Times New Roman" w:hAnsi="Times New Roman" w:cs="Times New Roman"/>
          <w:color w:val="000000" w:themeColor="text1"/>
          <w:sz w:val="24"/>
          <w:szCs w:val="24"/>
        </w:rPr>
        <w:t>created</w:t>
      </w:r>
      <w:r w:rsidRPr="009600B4">
        <w:rPr>
          <w:rFonts w:ascii="Times New Roman" w:hAnsi="Times New Roman"/>
          <w:color w:val="000000" w:themeColor="text1"/>
          <w:sz w:val="24"/>
        </w:rPr>
        <w:t xml:space="preserve"> corporation – a “domestic international sales corporation” (DISC) – to transfer money from their family-owned company to their sons’ Roth Individual Retirement Accounts (IRAs).  When the </w:t>
      </w:r>
      <w:r w:rsidRPr="008707D6">
        <w:rPr>
          <w:rFonts w:ascii="Times New Roman" w:hAnsi="Times New Roman" w:cs="Times New Roman"/>
          <w:color w:val="000000" w:themeColor="text1"/>
          <w:sz w:val="24"/>
          <w:szCs w:val="24"/>
        </w:rPr>
        <w:t>taxpayers</w:t>
      </w:r>
      <w:r w:rsidRPr="009600B4">
        <w:rPr>
          <w:rFonts w:ascii="Times New Roman" w:hAnsi="Times New Roman"/>
          <w:color w:val="000000" w:themeColor="text1"/>
          <w:sz w:val="24"/>
        </w:rPr>
        <w:t xml:space="preserve"> in </w:t>
      </w:r>
      <w:r w:rsidRPr="009600B4">
        <w:rPr>
          <w:rFonts w:ascii="Times New Roman" w:hAnsi="Times New Roman"/>
          <w:i/>
          <w:color w:val="000000" w:themeColor="text1"/>
          <w:sz w:val="24"/>
        </w:rPr>
        <w:t>Summa</w:t>
      </w:r>
      <w:r w:rsidRPr="009600B4">
        <w:rPr>
          <w:rFonts w:ascii="Times New Roman" w:hAnsi="Times New Roman"/>
          <w:color w:val="000000" w:themeColor="text1"/>
          <w:sz w:val="24"/>
        </w:rPr>
        <w:t xml:space="preserve"> did just that, the government challenged the transactions and argued that the effect of these transactions was to evade the contribution limits on Roth IRAs and attempted to apply the “substance-over-form doctrine.”  In holding that the </w:t>
      </w:r>
      <w:r w:rsidRPr="008707D6">
        <w:rPr>
          <w:rFonts w:ascii="Times New Roman" w:hAnsi="Times New Roman" w:cs="Times New Roman"/>
          <w:color w:val="000000" w:themeColor="text1"/>
          <w:sz w:val="24"/>
          <w:szCs w:val="24"/>
        </w:rPr>
        <w:t>taxpayer’s</w:t>
      </w:r>
      <w:r w:rsidRPr="009600B4">
        <w:rPr>
          <w:rFonts w:ascii="Times New Roman" w:hAnsi="Times New Roman"/>
          <w:color w:val="000000" w:themeColor="text1"/>
          <w:sz w:val="24"/>
        </w:rPr>
        <w:t xml:space="preserve"> “DISC – Roth IRA” transactions were permissible, the Sixth Circuit reversed </w:t>
      </w:r>
      <w:r>
        <w:rPr>
          <w:rFonts w:ascii="Times New Roman" w:hAnsi="Times New Roman"/>
          <w:color w:val="000000" w:themeColor="text1"/>
          <w:sz w:val="24"/>
        </w:rPr>
        <w:t>this C</w:t>
      </w:r>
      <w:r w:rsidRPr="009600B4">
        <w:rPr>
          <w:rFonts w:ascii="Times New Roman" w:hAnsi="Times New Roman"/>
          <w:color w:val="000000" w:themeColor="text1"/>
          <w:sz w:val="24"/>
        </w:rPr>
        <w:t>ourt stat</w:t>
      </w:r>
      <w:r>
        <w:rPr>
          <w:rFonts w:ascii="Times New Roman" w:hAnsi="Times New Roman"/>
          <w:color w:val="000000" w:themeColor="text1"/>
          <w:sz w:val="24"/>
        </w:rPr>
        <w:t xml:space="preserve">ing: </w:t>
      </w:r>
    </w:p>
    <w:p w14:paraId="402BA582" w14:textId="77777777" w:rsidR="00250577" w:rsidRPr="009600B4" w:rsidRDefault="00250577" w:rsidP="002239E7">
      <w:pPr>
        <w:autoSpaceDE w:val="0"/>
        <w:autoSpaceDN w:val="0"/>
        <w:adjustRightInd w:val="0"/>
        <w:spacing w:after="0" w:line="240" w:lineRule="auto"/>
        <w:rPr>
          <w:rFonts w:ascii="Times New Roman" w:hAnsi="Times New Roman"/>
          <w:color w:val="000000" w:themeColor="text1"/>
          <w:sz w:val="24"/>
          <w:highlight w:val="cyan"/>
        </w:rPr>
      </w:pPr>
    </w:p>
    <w:p w14:paraId="65795606" w14:textId="77777777" w:rsidR="00250577" w:rsidRPr="00062BFD" w:rsidRDefault="00250577" w:rsidP="00337049">
      <w:pPr>
        <w:autoSpaceDE w:val="0"/>
        <w:autoSpaceDN w:val="0"/>
        <w:adjustRightInd w:val="0"/>
        <w:spacing w:after="0" w:line="240" w:lineRule="auto"/>
        <w:ind w:left="720"/>
        <w:rPr>
          <w:rFonts w:ascii="Times New Roman" w:hAnsi="Times New Roman" w:cs="Times New Roman"/>
          <w:b/>
          <w:color w:val="000000" w:themeColor="text1"/>
          <w:sz w:val="24"/>
          <w:szCs w:val="24"/>
        </w:rPr>
      </w:pPr>
      <w:r w:rsidRPr="00337049">
        <w:rPr>
          <w:rFonts w:ascii="Times New Roman" w:hAnsi="Times New Roman" w:cs="Times New Roman"/>
          <w:color w:val="000000" w:themeColor="text1"/>
          <w:sz w:val="24"/>
          <w:szCs w:val="24"/>
        </w:rPr>
        <w:t>“</w:t>
      </w:r>
      <w:r w:rsidRPr="005933F6">
        <w:rPr>
          <w:rFonts w:ascii="Times New Roman" w:hAnsi="Times New Roman" w:cs="Times New Roman"/>
          <w:b/>
          <w:i/>
          <w:color w:val="000000" w:themeColor="text1"/>
          <w:sz w:val="24"/>
          <w:szCs w:val="24"/>
        </w:rPr>
        <w:t>Each word of the ‘substance-over-form doctrine,’ at least as the Commissioner has used it here, should give pause.</w:t>
      </w:r>
      <w:r w:rsidRPr="005933F6">
        <w:rPr>
          <w:rFonts w:ascii="Times New Roman" w:hAnsi="Times New Roman" w:cs="Times New Roman"/>
          <w:i/>
          <w:color w:val="000000" w:themeColor="text1"/>
          <w:sz w:val="24"/>
          <w:szCs w:val="24"/>
        </w:rPr>
        <w:t xml:space="preserve"> </w:t>
      </w:r>
      <w:r w:rsidRPr="005933F6">
        <w:rPr>
          <w:rFonts w:ascii="Times New Roman" w:hAnsi="Times New Roman" w:cs="Times New Roman"/>
          <w:b/>
          <w:i/>
          <w:color w:val="000000" w:themeColor="text1"/>
          <w:sz w:val="24"/>
          <w:szCs w:val="24"/>
        </w:rPr>
        <w:t xml:space="preserve">If the government can undo transactions that the terms of the Code expressly authorize, it’s fair to ask what the point of making these terms accessible to the taxpayer and binding on the tax collector is. ‘Form’ is ‘substance’ when it comes to law. The words of law (its form) determine content (its substance). How odd, then, to permit the tax collector to reverse the sequence – to allow him to determine the substance of a law and to make it govern “over” the written form of the law </w:t>
      </w:r>
      <w:r w:rsidRPr="00062BFD">
        <w:rPr>
          <w:rFonts w:ascii="Times New Roman" w:hAnsi="Times New Roman" w:cs="Times New Roman"/>
          <w:b/>
          <w:i/>
          <w:color w:val="000000" w:themeColor="text1"/>
          <w:sz w:val="24"/>
          <w:szCs w:val="24"/>
        </w:rPr>
        <w:t>– and to call it a “doctrine” no less</w:t>
      </w:r>
      <w:r w:rsidRPr="00062BFD">
        <w:rPr>
          <w:rFonts w:ascii="Times New Roman" w:hAnsi="Times New Roman" w:cs="Times New Roman"/>
          <w:color w:val="000000" w:themeColor="text1"/>
          <w:sz w:val="24"/>
          <w:szCs w:val="24"/>
        </w:rPr>
        <w:t>.”</w:t>
      </w:r>
      <w:r w:rsidRPr="00062BFD">
        <w:rPr>
          <w:rStyle w:val="EndnoteReference"/>
          <w:rFonts w:ascii="Times New Roman" w:hAnsi="Times New Roman" w:cs="Times New Roman"/>
          <w:color w:val="000000" w:themeColor="text1"/>
          <w:sz w:val="24"/>
          <w:szCs w:val="24"/>
        </w:rPr>
        <w:endnoteReference w:id="61"/>
      </w:r>
    </w:p>
    <w:p w14:paraId="7AE6104C" w14:textId="77777777" w:rsidR="00250577" w:rsidRPr="00DA4DE8" w:rsidRDefault="00250577" w:rsidP="002239E7">
      <w:pPr>
        <w:autoSpaceDE w:val="0"/>
        <w:autoSpaceDN w:val="0"/>
        <w:adjustRightInd w:val="0"/>
        <w:spacing w:after="0" w:line="240" w:lineRule="auto"/>
        <w:rPr>
          <w:rFonts w:ascii="Times New Roman" w:hAnsi="Times New Roman"/>
          <w:color w:val="000000" w:themeColor="text1"/>
          <w:sz w:val="24"/>
        </w:rPr>
      </w:pPr>
    </w:p>
    <w:p w14:paraId="670C37EE" w14:textId="241428C1" w:rsidR="00250577" w:rsidRPr="00062BFD" w:rsidRDefault="00250577" w:rsidP="00B50D89">
      <w:pPr>
        <w:autoSpaceDE w:val="0"/>
        <w:autoSpaceDN w:val="0"/>
        <w:adjustRightInd w:val="0"/>
        <w:spacing w:after="0" w:line="240" w:lineRule="auto"/>
        <w:rPr>
          <w:rFonts w:ascii="Times New Roman" w:hAnsi="Times New Roman" w:cs="Times New Roman"/>
          <w:color w:val="000000" w:themeColor="text1"/>
          <w:sz w:val="24"/>
          <w:szCs w:val="24"/>
        </w:rPr>
      </w:pPr>
      <w:r w:rsidRPr="00DA4DE8">
        <w:rPr>
          <w:rFonts w:ascii="Times New Roman" w:hAnsi="Times New Roman"/>
          <w:color w:val="000000" w:themeColor="text1"/>
          <w:sz w:val="24"/>
        </w:rPr>
        <w:t xml:space="preserve">In the related case of </w:t>
      </w:r>
      <w:r w:rsidRPr="00DA4DE8">
        <w:rPr>
          <w:rFonts w:ascii="Times New Roman" w:hAnsi="Times New Roman"/>
          <w:i/>
          <w:color w:val="000000" w:themeColor="text1"/>
          <w:sz w:val="24"/>
        </w:rPr>
        <w:t>Benenson v. Commissioner</w:t>
      </w:r>
      <w:r w:rsidRPr="00DA4DE8">
        <w:rPr>
          <w:rFonts w:ascii="Times New Roman" w:hAnsi="Times New Roman"/>
          <w:color w:val="000000" w:themeColor="text1"/>
          <w:sz w:val="24"/>
        </w:rPr>
        <w:t>,</w:t>
      </w:r>
      <w:r w:rsidRPr="00DA4DE8">
        <w:rPr>
          <w:rStyle w:val="EndnoteReference"/>
          <w:rFonts w:ascii="Times New Roman" w:hAnsi="Times New Roman"/>
          <w:color w:val="000000" w:themeColor="text1"/>
          <w:sz w:val="24"/>
        </w:rPr>
        <w:endnoteReference w:id="62"/>
      </w:r>
      <w:r w:rsidRPr="00DA4DE8">
        <w:rPr>
          <w:rFonts w:ascii="Times New Roman" w:hAnsi="Times New Roman"/>
          <w:color w:val="000000" w:themeColor="text1"/>
          <w:sz w:val="24"/>
        </w:rPr>
        <w:t xml:space="preserve"> the First Circuit </w:t>
      </w:r>
      <w:r>
        <w:rPr>
          <w:rFonts w:ascii="Times New Roman" w:hAnsi="Times New Roman"/>
          <w:color w:val="000000" w:themeColor="text1"/>
          <w:sz w:val="24"/>
        </w:rPr>
        <w:t xml:space="preserve">later </w:t>
      </w:r>
      <w:r w:rsidRPr="00062BFD">
        <w:rPr>
          <w:rFonts w:ascii="Times New Roman" w:hAnsi="Times New Roman" w:cs="Times New Roman"/>
          <w:color w:val="000000" w:themeColor="text1"/>
          <w:sz w:val="24"/>
          <w:szCs w:val="24"/>
        </w:rPr>
        <w:t>stated</w:t>
      </w:r>
      <w:r>
        <w:rPr>
          <w:rFonts w:ascii="Times New Roman" w:hAnsi="Times New Roman" w:cs="Times New Roman"/>
          <w:color w:val="000000" w:themeColor="text1"/>
          <w:sz w:val="24"/>
          <w:szCs w:val="24"/>
        </w:rPr>
        <w:t xml:space="preserve">: </w:t>
      </w:r>
    </w:p>
    <w:p w14:paraId="5ACA9D45" w14:textId="77777777" w:rsidR="00250577" w:rsidRPr="00062BFD" w:rsidRDefault="00250577" w:rsidP="002239E7">
      <w:pPr>
        <w:autoSpaceDE w:val="0"/>
        <w:autoSpaceDN w:val="0"/>
        <w:adjustRightInd w:val="0"/>
        <w:spacing w:after="0" w:line="240" w:lineRule="auto"/>
        <w:rPr>
          <w:rFonts w:ascii="Times New Roman" w:hAnsi="Times New Roman" w:cs="Times New Roman"/>
          <w:color w:val="000000" w:themeColor="text1"/>
          <w:sz w:val="24"/>
          <w:szCs w:val="24"/>
        </w:rPr>
      </w:pPr>
    </w:p>
    <w:p w14:paraId="2A004AEA" w14:textId="76D2893F" w:rsidR="00250577" w:rsidRPr="00DA4DE8" w:rsidRDefault="00250577" w:rsidP="00DA4DE8">
      <w:pPr>
        <w:autoSpaceDE w:val="0"/>
        <w:autoSpaceDN w:val="0"/>
        <w:adjustRightInd w:val="0"/>
        <w:spacing w:after="0" w:line="240" w:lineRule="auto"/>
        <w:ind w:left="720"/>
        <w:rPr>
          <w:rFonts w:ascii="Times New Roman" w:hAnsi="Times New Roman"/>
          <w:color w:val="000000" w:themeColor="text1"/>
          <w:sz w:val="24"/>
        </w:rPr>
      </w:pPr>
      <w:r w:rsidRPr="00062BFD">
        <w:rPr>
          <w:rFonts w:ascii="Times New Roman" w:hAnsi="Times New Roman" w:cs="Times New Roman"/>
          <w:i/>
          <w:color w:val="000000" w:themeColor="text1"/>
          <w:sz w:val="24"/>
          <w:szCs w:val="24"/>
        </w:rPr>
        <w:t>“</w:t>
      </w:r>
      <w:r w:rsidRPr="00062BFD">
        <w:rPr>
          <w:rFonts w:ascii="Times New Roman" w:hAnsi="Times New Roman" w:cs="Times New Roman"/>
          <w:b/>
          <w:i/>
          <w:color w:val="000000" w:themeColor="text1"/>
          <w:sz w:val="24"/>
          <w:szCs w:val="24"/>
        </w:rPr>
        <w:t>By design, Congress</w:t>
      </w:r>
      <w:r w:rsidRPr="00D554C9">
        <w:rPr>
          <w:rFonts w:ascii="Times New Roman" w:hAnsi="Times New Roman" w:cs="Times New Roman"/>
          <w:b/>
          <w:i/>
          <w:color w:val="000000" w:themeColor="text1"/>
          <w:sz w:val="24"/>
          <w:szCs w:val="24"/>
        </w:rPr>
        <w:t xml:space="preserve"> and the Treasury Department</w:t>
      </w:r>
      <w:r>
        <w:rPr>
          <w:rFonts w:ascii="Times New Roman" w:hAnsi="Times New Roman" w:cs="Times New Roman"/>
          <w:b/>
          <w:i/>
          <w:color w:val="000000" w:themeColor="text1"/>
          <w:sz w:val="24"/>
          <w:szCs w:val="24"/>
        </w:rPr>
        <w:t xml:space="preserve"> </w:t>
      </w:r>
      <w:r w:rsidRPr="00D554C9">
        <w:rPr>
          <w:rFonts w:ascii="Times New Roman" w:hAnsi="Times New Roman" w:cs="Times New Roman"/>
          <w:b/>
          <w:i/>
          <w:color w:val="000000" w:themeColor="text1"/>
          <w:sz w:val="24"/>
          <w:szCs w:val="24"/>
        </w:rPr>
        <w:t>allowed domestic companies to defer taxation and pay</w:t>
      </w:r>
      <w:r>
        <w:rPr>
          <w:rFonts w:ascii="Times New Roman" w:hAnsi="Times New Roman" w:cs="Times New Roman"/>
          <w:b/>
          <w:i/>
          <w:color w:val="000000" w:themeColor="text1"/>
          <w:sz w:val="24"/>
          <w:szCs w:val="24"/>
        </w:rPr>
        <w:t xml:space="preserve"> </w:t>
      </w:r>
      <w:r w:rsidRPr="00D554C9">
        <w:rPr>
          <w:rFonts w:ascii="Times New Roman" w:hAnsi="Times New Roman" w:cs="Times New Roman"/>
          <w:b/>
          <w:i/>
          <w:color w:val="000000" w:themeColor="text1"/>
          <w:sz w:val="24"/>
          <w:szCs w:val="24"/>
        </w:rPr>
        <w:t xml:space="preserve">out </w:t>
      </w:r>
      <w:r w:rsidRPr="00DA4DE8">
        <w:rPr>
          <w:rFonts w:ascii="Times New Roman" w:hAnsi="Times New Roman"/>
          <w:b/>
          <w:i/>
          <w:color w:val="000000" w:themeColor="text1"/>
          <w:sz w:val="24"/>
        </w:rPr>
        <w:t xml:space="preserve">dividends </w:t>
      </w:r>
      <w:r w:rsidRPr="00D554C9">
        <w:rPr>
          <w:rFonts w:ascii="Times New Roman" w:hAnsi="Times New Roman" w:cs="Times New Roman"/>
          <w:b/>
          <w:i/>
          <w:color w:val="000000" w:themeColor="text1"/>
          <w:sz w:val="24"/>
          <w:szCs w:val="24"/>
        </w:rPr>
        <w:t>to shareholders through a structure that</w:t>
      </w:r>
      <w:r>
        <w:rPr>
          <w:rFonts w:ascii="Times New Roman" w:hAnsi="Times New Roman" w:cs="Times New Roman"/>
          <w:b/>
          <w:i/>
          <w:color w:val="000000" w:themeColor="text1"/>
          <w:sz w:val="24"/>
          <w:szCs w:val="24"/>
        </w:rPr>
        <w:t xml:space="preserve"> </w:t>
      </w:r>
      <w:r w:rsidRPr="00D554C9">
        <w:rPr>
          <w:rFonts w:ascii="Times New Roman" w:hAnsi="Times New Roman" w:cs="Times New Roman"/>
          <w:b/>
          <w:i/>
          <w:color w:val="000000" w:themeColor="text1"/>
          <w:sz w:val="24"/>
          <w:szCs w:val="24"/>
        </w:rPr>
        <w:t xml:space="preserve">might otherwise run afoul of the Code. See </w:t>
      </w:r>
      <w:r w:rsidRPr="003E0285">
        <w:rPr>
          <w:rFonts w:ascii="Times New Roman" w:hAnsi="Times New Roman" w:cs="Times New Roman"/>
          <w:b/>
          <w:i/>
          <w:color w:val="000000" w:themeColor="text1"/>
          <w:sz w:val="24"/>
          <w:szCs w:val="24"/>
          <w:u w:val="single"/>
        </w:rPr>
        <w:t>Addison Int'l, Inc. v. Comm'r</w:t>
      </w:r>
      <w:r w:rsidRPr="00D554C9">
        <w:rPr>
          <w:rFonts w:ascii="Times New Roman" w:hAnsi="Times New Roman" w:cs="Times New Roman"/>
          <w:b/>
          <w:i/>
          <w:color w:val="000000" w:themeColor="text1"/>
          <w:sz w:val="24"/>
          <w:szCs w:val="24"/>
        </w:rPr>
        <w:t>, 90 T.C. 1207, 1221 (1988); see also</w:t>
      </w:r>
      <w:r>
        <w:rPr>
          <w:rFonts w:ascii="Times New Roman" w:hAnsi="Times New Roman" w:cs="Times New Roman"/>
          <w:b/>
          <w:i/>
          <w:color w:val="000000" w:themeColor="text1"/>
          <w:sz w:val="24"/>
          <w:szCs w:val="24"/>
        </w:rPr>
        <w:t xml:space="preserve"> </w:t>
      </w:r>
      <w:r w:rsidRPr="00D554C9">
        <w:rPr>
          <w:rFonts w:ascii="Times New Roman" w:hAnsi="Times New Roman" w:cs="Times New Roman"/>
          <w:b/>
          <w:i/>
          <w:color w:val="000000" w:themeColor="text1"/>
          <w:sz w:val="24"/>
          <w:szCs w:val="24"/>
        </w:rPr>
        <w:t>Summa Holdings, 848 F.3d at 786 (“By congressional</w:t>
      </w:r>
      <w:r>
        <w:rPr>
          <w:rFonts w:ascii="Times New Roman" w:hAnsi="Times New Roman" w:cs="Times New Roman"/>
          <w:b/>
          <w:i/>
          <w:color w:val="000000" w:themeColor="text1"/>
          <w:sz w:val="24"/>
          <w:szCs w:val="24"/>
        </w:rPr>
        <w:t xml:space="preserve"> </w:t>
      </w:r>
      <w:r w:rsidRPr="00D554C9">
        <w:rPr>
          <w:rFonts w:ascii="Times New Roman" w:hAnsi="Times New Roman" w:cs="Times New Roman"/>
          <w:b/>
          <w:i/>
          <w:color w:val="000000" w:themeColor="text1"/>
          <w:sz w:val="24"/>
          <w:szCs w:val="24"/>
        </w:rPr>
        <w:t>design, DISCs are all form and no substance....”).</w:t>
      </w:r>
      <w:r w:rsidRPr="00DA4DE8">
        <w:rPr>
          <w:rFonts w:ascii="Times New Roman" w:hAnsi="Times New Roman"/>
          <w:b/>
          <w:i/>
          <w:color w:val="000000" w:themeColor="text1"/>
          <w:sz w:val="24"/>
        </w:rPr>
        <w:t xml:space="preserve"> In </w:t>
      </w:r>
      <w:r w:rsidRPr="00D554C9">
        <w:rPr>
          <w:rFonts w:ascii="Times New Roman" w:hAnsi="Times New Roman" w:cs="Times New Roman"/>
          <w:b/>
          <w:i/>
          <w:color w:val="000000" w:themeColor="text1"/>
          <w:sz w:val="24"/>
          <w:szCs w:val="24"/>
        </w:rPr>
        <w:t>sum,</w:t>
      </w:r>
      <w:r>
        <w:rPr>
          <w:rFonts w:ascii="Times New Roman" w:hAnsi="Times New Roman" w:cs="Times New Roman"/>
          <w:b/>
          <w:i/>
          <w:color w:val="000000" w:themeColor="text1"/>
          <w:sz w:val="24"/>
          <w:szCs w:val="24"/>
        </w:rPr>
        <w:t xml:space="preserve"> </w:t>
      </w:r>
      <w:r w:rsidRPr="00D554C9">
        <w:rPr>
          <w:rFonts w:ascii="Times New Roman" w:hAnsi="Times New Roman" w:cs="Times New Roman"/>
          <w:b/>
          <w:i/>
          <w:color w:val="000000" w:themeColor="text1"/>
          <w:sz w:val="24"/>
          <w:szCs w:val="24"/>
        </w:rPr>
        <w:t>we agree with the Sixth Circuit that Congress created</w:t>
      </w:r>
      <w:r>
        <w:rPr>
          <w:rFonts w:ascii="Times New Roman" w:hAnsi="Times New Roman" w:cs="Times New Roman"/>
          <w:b/>
          <w:i/>
          <w:color w:val="000000" w:themeColor="text1"/>
          <w:sz w:val="24"/>
          <w:szCs w:val="24"/>
        </w:rPr>
        <w:t xml:space="preserve"> </w:t>
      </w:r>
      <w:r w:rsidRPr="00D554C9">
        <w:rPr>
          <w:rFonts w:ascii="Times New Roman" w:hAnsi="Times New Roman" w:cs="Times New Roman"/>
          <w:b/>
          <w:i/>
          <w:color w:val="000000" w:themeColor="text1"/>
          <w:sz w:val="24"/>
          <w:szCs w:val="24"/>
        </w:rPr>
        <w:t>DISCs “to enable exporters to defer corporate income</w:t>
      </w:r>
      <w:r>
        <w:rPr>
          <w:rFonts w:ascii="Times New Roman" w:hAnsi="Times New Roman" w:cs="Times New Roman"/>
          <w:b/>
          <w:i/>
          <w:color w:val="000000" w:themeColor="text1"/>
          <w:sz w:val="24"/>
          <w:szCs w:val="24"/>
        </w:rPr>
        <w:t xml:space="preserve"> </w:t>
      </w:r>
      <w:r w:rsidRPr="00D554C9">
        <w:rPr>
          <w:rFonts w:ascii="Times New Roman" w:hAnsi="Times New Roman" w:cs="Times New Roman"/>
          <w:b/>
          <w:i/>
          <w:color w:val="000000" w:themeColor="text1"/>
          <w:sz w:val="24"/>
          <w:szCs w:val="24"/>
        </w:rPr>
        <w:t>tax.”</w:t>
      </w:r>
      <w:r>
        <w:rPr>
          <w:rStyle w:val="EndnoteReference"/>
          <w:rFonts w:ascii="Times New Roman" w:hAnsi="Times New Roman" w:cs="Times New Roman"/>
          <w:b/>
          <w:i/>
          <w:color w:val="000000" w:themeColor="text1"/>
          <w:sz w:val="24"/>
          <w:szCs w:val="24"/>
        </w:rPr>
        <w:endnoteReference w:id="63"/>
      </w:r>
    </w:p>
    <w:p w14:paraId="6846CD98" w14:textId="77777777" w:rsidR="00250577" w:rsidRPr="00DA4DE8" w:rsidRDefault="00250577" w:rsidP="00DA4DE8">
      <w:pPr>
        <w:autoSpaceDE w:val="0"/>
        <w:autoSpaceDN w:val="0"/>
        <w:adjustRightInd w:val="0"/>
        <w:spacing w:after="0" w:line="240" w:lineRule="auto"/>
        <w:ind w:left="720"/>
        <w:rPr>
          <w:rFonts w:ascii="Times New Roman" w:hAnsi="Times New Roman"/>
          <w:color w:val="000000" w:themeColor="text1"/>
          <w:sz w:val="24"/>
        </w:rPr>
      </w:pPr>
    </w:p>
    <w:p w14:paraId="7F4A3135" w14:textId="77777777" w:rsidR="00250577" w:rsidRPr="00704BB0" w:rsidRDefault="00250577" w:rsidP="00D554C9">
      <w:pPr>
        <w:autoSpaceDE w:val="0"/>
        <w:autoSpaceDN w:val="0"/>
        <w:adjustRightInd w:val="0"/>
        <w:spacing w:after="0" w:line="240" w:lineRule="auto"/>
        <w:ind w:left="720"/>
        <w:rPr>
          <w:rFonts w:ascii="Times New Roman" w:hAnsi="Times New Roman"/>
          <w:b/>
          <w:i/>
          <w:color w:val="000000" w:themeColor="text1"/>
          <w:sz w:val="24"/>
        </w:rPr>
      </w:pPr>
      <w:r w:rsidRPr="00DA4DE8">
        <w:rPr>
          <w:rFonts w:ascii="Times New Roman" w:hAnsi="Times New Roman"/>
          <w:b/>
          <w:i/>
          <w:color w:val="000000" w:themeColor="text1"/>
          <w:sz w:val="24"/>
        </w:rPr>
        <w:t xml:space="preserve">“Some may call the Benensons’ transaction clever. Others may call it unseemly. The sole question presented to us is whether the Commissioner has the power </w:t>
      </w:r>
      <w:r w:rsidRPr="00704BB0">
        <w:rPr>
          <w:rFonts w:ascii="Times New Roman" w:hAnsi="Times New Roman"/>
          <w:b/>
          <w:i/>
          <w:color w:val="000000" w:themeColor="text1"/>
          <w:sz w:val="24"/>
        </w:rPr>
        <w:t>to call it a</w:t>
      </w:r>
    </w:p>
    <w:p w14:paraId="5C4EBB28" w14:textId="1FE32DD5" w:rsidR="00250577" w:rsidRPr="00704BB0" w:rsidRDefault="00250577" w:rsidP="00B50D89">
      <w:pPr>
        <w:autoSpaceDE w:val="0"/>
        <w:autoSpaceDN w:val="0"/>
        <w:adjustRightInd w:val="0"/>
        <w:spacing w:after="0" w:line="240" w:lineRule="auto"/>
        <w:ind w:left="720"/>
        <w:rPr>
          <w:rFonts w:ascii="Times New Roman" w:hAnsi="Times New Roman"/>
          <w:color w:val="000000" w:themeColor="text1"/>
          <w:sz w:val="24"/>
        </w:rPr>
      </w:pPr>
      <w:r w:rsidRPr="00704BB0">
        <w:rPr>
          <w:rFonts w:ascii="Times New Roman" w:hAnsi="Times New Roman"/>
          <w:b/>
          <w:i/>
          <w:color w:val="000000" w:themeColor="text1"/>
          <w:sz w:val="24"/>
        </w:rPr>
        <w:t>violation of the Tax Code. We hold that he does not. The substance over form doctrine is not a smell test. It is, in this circuit, a tool of statutory interpretation. When, as here, we find that the transaction does not violate the plain intent of the relevant statutes, we can push the doctrine no further.”</w:t>
      </w:r>
      <w:r w:rsidRPr="00704BB0">
        <w:rPr>
          <w:rStyle w:val="EndnoteReference"/>
          <w:rFonts w:ascii="Times New Roman" w:hAnsi="Times New Roman"/>
          <w:color w:val="000000" w:themeColor="text1"/>
          <w:sz w:val="24"/>
        </w:rPr>
        <w:endnoteReference w:id="64"/>
      </w:r>
    </w:p>
    <w:p w14:paraId="536EE5F1" w14:textId="77777777" w:rsidR="00250577" w:rsidRPr="00704BB0" w:rsidRDefault="00250577" w:rsidP="002239E7">
      <w:pPr>
        <w:autoSpaceDE w:val="0"/>
        <w:autoSpaceDN w:val="0"/>
        <w:adjustRightInd w:val="0"/>
        <w:spacing w:after="0" w:line="240" w:lineRule="auto"/>
        <w:rPr>
          <w:rFonts w:ascii="Times New Roman" w:hAnsi="Times New Roman"/>
          <w:color w:val="000000" w:themeColor="text1"/>
          <w:sz w:val="24"/>
          <w:highlight w:val="cyan"/>
        </w:rPr>
      </w:pPr>
    </w:p>
    <w:p w14:paraId="6078246B" w14:textId="76A9F012" w:rsidR="00250577" w:rsidRDefault="00250577" w:rsidP="002239E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Court in </w:t>
      </w:r>
      <w:r w:rsidRPr="00A07C5F">
        <w:rPr>
          <w:rFonts w:ascii="Times New Roman" w:hAnsi="Times New Roman" w:cs="Times New Roman"/>
          <w:i/>
          <w:sz w:val="24"/>
          <w:szCs w:val="24"/>
        </w:rPr>
        <w:t>Reserve</w:t>
      </w:r>
      <w:r>
        <w:rPr>
          <w:rFonts w:ascii="Times New Roman" w:hAnsi="Times New Roman" w:cs="Times New Roman"/>
          <w:sz w:val="24"/>
          <w:szCs w:val="24"/>
        </w:rPr>
        <w:t xml:space="preserve">, squarely based on </w:t>
      </w:r>
      <w:r w:rsidRPr="00A07C5F">
        <w:rPr>
          <w:rFonts w:ascii="Times New Roman" w:hAnsi="Times New Roman" w:cs="Times New Roman"/>
          <w:i/>
          <w:sz w:val="24"/>
          <w:szCs w:val="24"/>
        </w:rPr>
        <w:t>Avrahami</w:t>
      </w:r>
      <w:r>
        <w:rPr>
          <w:rFonts w:ascii="Times New Roman" w:hAnsi="Times New Roman" w:cs="Times New Roman"/>
          <w:sz w:val="24"/>
          <w:szCs w:val="24"/>
        </w:rPr>
        <w:t xml:space="preserve">, went far beyond any earlier opinions in the captive insurance area, establishing new law and new requirements for “insurance” without articulating the principles or basis for such holdings other than its own views.  The Court’s new holdings never before seen anywhere are discussed below </w:t>
      </w:r>
      <w:r w:rsidRPr="00A9378E">
        <w:rPr>
          <w:rFonts w:ascii="Times New Roman" w:hAnsi="Times New Roman" w:cs="Times New Roman"/>
          <w:sz w:val="24"/>
          <w:szCs w:val="24"/>
        </w:rPr>
        <w:t xml:space="preserve">beginning at page </w:t>
      </w:r>
      <w:r w:rsidR="00A9378E" w:rsidRPr="00A9378E">
        <w:rPr>
          <w:rFonts w:ascii="Times New Roman" w:hAnsi="Times New Roman" w:cs="Times New Roman"/>
          <w:sz w:val="24"/>
          <w:szCs w:val="24"/>
        </w:rPr>
        <w:t>20</w:t>
      </w:r>
      <w:r w:rsidRPr="00A9378E">
        <w:rPr>
          <w:rFonts w:ascii="Times New Roman" w:hAnsi="Times New Roman" w:cs="Times New Roman"/>
          <w:sz w:val="24"/>
          <w:szCs w:val="24"/>
        </w:rPr>
        <w:t>.</w:t>
      </w:r>
    </w:p>
    <w:p w14:paraId="7C19FCDA" w14:textId="77777777" w:rsidR="00250577" w:rsidRPr="0036725A" w:rsidRDefault="00250577" w:rsidP="00364083">
      <w:pPr>
        <w:autoSpaceDE w:val="0"/>
        <w:autoSpaceDN w:val="0"/>
        <w:adjustRightInd w:val="0"/>
        <w:spacing w:after="0" w:line="240" w:lineRule="auto"/>
        <w:rPr>
          <w:rFonts w:ascii="Times New Roman" w:hAnsi="Times New Roman" w:cs="Times New Roman"/>
          <w:sz w:val="24"/>
          <w:szCs w:val="24"/>
        </w:rPr>
      </w:pPr>
    </w:p>
    <w:p w14:paraId="0C062B30" w14:textId="76350A4F" w:rsidR="00250577" w:rsidRPr="0036725A" w:rsidRDefault="00250577" w:rsidP="00364083">
      <w:pPr>
        <w:autoSpaceDE w:val="0"/>
        <w:autoSpaceDN w:val="0"/>
        <w:adjustRightInd w:val="0"/>
        <w:spacing w:after="0" w:line="240" w:lineRule="auto"/>
        <w:rPr>
          <w:rFonts w:ascii="Times New Roman" w:hAnsi="Times New Roman" w:cs="Times New Roman"/>
          <w:b/>
          <w:sz w:val="24"/>
          <w:szCs w:val="24"/>
        </w:rPr>
      </w:pPr>
      <w:r w:rsidRPr="0036725A">
        <w:rPr>
          <w:rFonts w:ascii="Times New Roman" w:hAnsi="Times New Roman" w:cs="Times New Roman"/>
          <w:b/>
          <w:sz w:val="24"/>
          <w:szCs w:val="24"/>
        </w:rPr>
        <w:t xml:space="preserve">Reserve’s Direct Policies </w:t>
      </w:r>
      <w:r>
        <w:rPr>
          <w:rFonts w:ascii="Times New Roman" w:hAnsi="Times New Roman" w:cs="Times New Roman"/>
          <w:b/>
          <w:sz w:val="24"/>
          <w:szCs w:val="24"/>
        </w:rPr>
        <w:t xml:space="preserve">All Were Non-Duplicative and </w:t>
      </w:r>
      <w:r w:rsidRPr="0036725A">
        <w:rPr>
          <w:rFonts w:ascii="Times New Roman" w:hAnsi="Times New Roman" w:cs="Times New Roman"/>
          <w:b/>
          <w:sz w:val="24"/>
          <w:szCs w:val="24"/>
        </w:rPr>
        <w:t>Complimentary to the Insureds’ Commercial Policies</w:t>
      </w:r>
    </w:p>
    <w:p w14:paraId="63B38ACE" w14:textId="77777777" w:rsidR="00250577" w:rsidRPr="0036725A" w:rsidRDefault="00250577" w:rsidP="0018370A">
      <w:pPr>
        <w:spacing w:after="0" w:line="240" w:lineRule="auto"/>
        <w:rPr>
          <w:rFonts w:ascii="Times New Roman" w:hAnsi="Times New Roman" w:cs="Times New Roman"/>
          <w:sz w:val="24"/>
          <w:szCs w:val="24"/>
        </w:rPr>
      </w:pPr>
    </w:p>
    <w:p w14:paraId="79E0EDC7" w14:textId="06324F9A" w:rsidR="00250577" w:rsidRPr="0036725A" w:rsidRDefault="00250577" w:rsidP="00FC6D3A">
      <w:pPr>
        <w:spacing w:after="0" w:line="240" w:lineRule="auto"/>
        <w:rPr>
          <w:rFonts w:ascii="Times New Roman" w:hAnsi="Times New Roman" w:cs="Times New Roman"/>
          <w:sz w:val="24"/>
          <w:szCs w:val="24"/>
        </w:rPr>
      </w:pPr>
      <w:r w:rsidRPr="0036725A">
        <w:rPr>
          <w:rFonts w:ascii="Times New Roman" w:hAnsi="Times New Roman" w:cs="Times New Roman"/>
          <w:sz w:val="24"/>
          <w:szCs w:val="24"/>
        </w:rPr>
        <w:t xml:space="preserve">Reserve </w:t>
      </w:r>
      <w:r w:rsidRPr="001F4DCD">
        <w:rPr>
          <w:rFonts w:ascii="Times New Roman" w:hAnsi="Times New Roman" w:cs="Times New Roman"/>
          <w:sz w:val="24"/>
          <w:szCs w:val="24"/>
        </w:rPr>
        <w:t>underwrote and issued property and casualty policies in three categories: (i) direct written policies (11-13</w:t>
      </w:r>
      <w:r>
        <w:rPr>
          <w:rFonts w:ascii="Times New Roman" w:hAnsi="Times New Roman" w:cs="Times New Roman"/>
          <w:sz w:val="24"/>
          <w:szCs w:val="24"/>
        </w:rPr>
        <w:t xml:space="preserve"> </w:t>
      </w:r>
      <w:r w:rsidRPr="001F4DCD">
        <w:rPr>
          <w:rFonts w:ascii="Times New Roman" w:hAnsi="Times New Roman" w:cs="Times New Roman"/>
          <w:sz w:val="24"/>
          <w:szCs w:val="24"/>
        </w:rPr>
        <w:t>policies per year for 2008-2010) issued to its affiliated insureds; (ii) pooled premiums from, for example</w:t>
      </w:r>
      <w:r>
        <w:rPr>
          <w:rFonts w:ascii="Times New Roman" w:hAnsi="Times New Roman" w:cs="Times New Roman"/>
          <w:sz w:val="24"/>
          <w:szCs w:val="24"/>
        </w:rPr>
        <w:t xml:space="preserve"> in 2010</w:t>
      </w:r>
      <w:r w:rsidRPr="001F4DCD">
        <w:rPr>
          <w:rFonts w:ascii="Times New Roman" w:hAnsi="Times New Roman" w:cs="Times New Roman"/>
          <w:sz w:val="24"/>
          <w:szCs w:val="24"/>
        </w:rPr>
        <w:t>, 6</w:t>
      </w:r>
      <w:r>
        <w:rPr>
          <w:rFonts w:ascii="Times New Roman" w:hAnsi="Times New Roman" w:cs="Times New Roman"/>
          <w:sz w:val="24"/>
          <w:szCs w:val="24"/>
        </w:rPr>
        <w:t>5</w:t>
      </w:r>
      <w:r w:rsidRPr="001F4DCD">
        <w:rPr>
          <w:rFonts w:ascii="Times New Roman" w:hAnsi="Times New Roman" w:cs="Times New Roman"/>
          <w:sz w:val="24"/>
          <w:szCs w:val="24"/>
        </w:rPr>
        <w:t>0</w:t>
      </w:r>
      <w:r>
        <w:rPr>
          <w:rFonts w:ascii="Times New Roman" w:hAnsi="Times New Roman" w:cs="Times New Roman"/>
          <w:sz w:val="24"/>
          <w:szCs w:val="24"/>
        </w:rPr>
        <w:t>+</w:t>
      </w:r>
      <w:r w:rsidRPr="001F4DCD">
        <w:rPr>
          <w:rFonts w:ascii="Times New Roman" w:hAnsi="Times New Roman" w:cs="Times New Roman"/>
          <w:sz w:val="24"/>
          <w:szCs w:val="24"/>
        </w:rPr>
        <w:t xml:space="preserve"> policies (98+%</w:t>
      </w:r>
      <w:r w:rsidRPr="0036725A">
        <w:rPr>
          <w:rFonts w:ascii="Times New Roman" w:hAnsi="Times New Roman" w:cs="Times New Roman"/>
          <w:sz w:val="24"/>
          <w:szCs w:val="24"/>
        </w:rPr>
        <w:t xml:space="preserve"> of which were policies issued by PoolRe to businesses </w:t>
      </w:r>
      <w:r>
        <w:rPr>
          <w:rFonts w:ascii="Times New Roman" w:hAnsi="Times New Roman" w:cs="Times New Roman"/>
          <w:sz w:val="24"/>
          <w:szCs w:val="24"/>
        </w:rPr>
        <w:t>wholly-</w:t>
      </w:r>
      <w:r w:rsidRPr="0036725A">
        <w:rPr>
          <w:rFonts w:ascii="Times New Roman" w:hAnsi="Times New Roman" w:cs="Times New Roman"/>
          <w:sz w:val="24"/>
          <w:szCs w:val="24"/>
        </w:rPr>
        <w:t xml:space="preserve">unaffiliated with Reserve); and (iii) reinsurance assumed by Reserve with respect to policies issued to </w:t>
      </w:r>
      <w:r>
        <w:rPr>
          <w:rFonts w:ascii="Times New Roman" w:hAnsi="Times New Roman" w:cs="Times New Roman"/>
          <w:sz w:val="24"/>
          <w:szCs w:val="24"/>
        </w:rPr>
        <w:t xml:space="preserve">many tens of </w:t>
      </w:r>
      <w:r w:rsidRPr="0036725A">
        <w:rPr>
          <w:rFonts w:ascii="Times New Roman" w:hAnsi="Times New Roman" w:cs="Times New Roman"/>
          <w:sz w:val="24"/>
          <w:szCs w:val="24"/>
        </w:rPr>
        <w:t xml:space="preserve">thousands of </w:t>
      </w:r>
      <w:r>
        <w:rPr>
          <w:rFonts w:ascii="Times New Roman" w:hAnsi="Times New Roman" w:cs="Times New Roman"/>
          <w:sz w:val="24"/>
          <w:szCs w:val="24"/>
        </w:rPr>
        <w:t xml:space="preserve">wholly-unaffiliated </w:t>
      </w:r>
      <w:r w:rsidRPr="0036725A">
        <w:rPr>
          <w:rFonts w:ascii="Times New Roman" w:hAnsi="Times New Roman" w:cs="Times New Roman"/>
          <w:sz w:val="24"/>
          <w:szCs w:val="24"/>
        </w:rPr>
        <w:t xml:space="preserve">insureds by </w:t>
      </w:r>
      <w:r>
        <w:rPr>
          <w:rFonts w:ascii="Times New Roman" w:hAnsi="Times New Roman" w:cs="Times New Roman"/>
          <w:sz w:val="24"/>
          <w:szCs w:val="24"/>
        </w:rPr>
        <w:t xml:space="preserve">Lyndon, </w:t>
      </w:r>
      <w:r w:rsidRPr="0036725A">
        <w:rPr>
          <w:rFonts w:ascii="Times New Roman" w:hAnsi="Times New Roman" w:cs="Times New Roman"/>
          <w:sz w:val="24"/>
          <w:szCs w:val="24"/>
        </w:rPr>
        <w:t>a publicly</w:t>
      </w:r>
      <w:r>
        <w:rPr>
          <w:rFonts w:ascii="Times New Roman" w:hAnsi="Times New Roman" w:cs="Times New Roman"/>
          <w:sz w:val="24"/>
          <w:szCs w:val="24"/>
        </w:rPr>
        <w:t>-</w:t>
      </w:r>
      <w:r w:rsidRPr="0036725A">
        <w:rPr>
          <w:rFonts w:ascii="Times New Roman" w:hAnsi="Times New Roman" w:cs="Times New Roman"/>
          <w:sz w:val="24"/>
          <w:szCs w:val="24"/>
        </w:rPr>
        <w:t>held</w:t>
      </w:r>
      <w:r>
        <w:rPr>
          <w:rFonts w:ascii="Times New Roman" w:hAnsi="Times New Roman" w:cs="Times New Roman"/>
          <w:sz w:val="24"/>
          <w:szCs w:val="24"/>
        </w:rPr>
        <w:t>, commercial</w:t>
      </w:r>
      <w:r w:rsidRPr="0036725A">
        <w:rPr>
          <w:rFonts w:ascii="Times New Roman" w:hAnsi="Times New Roman" w:cs="Times New Roman"/>
          <w:sz w:val="24"/>
          <w:szCs w:val="24"/>
        </w:rPr>
        <w:t xml:space="preserve"> insurer.</w:t>
      </w:r>
    </w:p>
    <w:p w14:paraId="450EEF8B" w14:textId="77777777" w:rsidR="00250577" w:rsidRPr="0036725A" w:rsidRDefault="00250577" w:rsidP="00C148AB">
      <w:pPr>
        <w:spacing w:after="0" w:line="240" w:lineRule="auto"/>
        <w:rPr>
          <w:rFonts w:ascii="Times New Roman" w:hAnsi="Times New Roman" w:cs="Times New Roman"/>
          <w:sz w:val="24"/>
          <w:szCs w:val="24"/>
        </w:rPr>
      </w:pPr>
    </w:p>
    <w:p w14:paraId="5D75437D" w14:textId="22C8262B" w:rsidR="00250577" w:rsidRDefault="00250577" w:rsidP="00EA1A2C">
      <w:pPr>
        <w:spacing w:after="0" w:line="240" w:lineRule="auto"/>
        <w:rPr>
          <w:rFonts w:ascii="Times New Roman" w:hAnsi="Times New Roman" w:cs="Times New Roman"/>
          <w:sz w:val="24"/>
          <w:szCs w:val="24"/>
        </w:rPr>
      </w:pPr>
      <w:r w:rsidRPr="0036725A">
        <w:rPr>
          <w:rFonts w:ascii="Times New Roman" w:hAnsi="Times New Roman" w:cs="Times New Roman"/>
          <w:sz w:val="24"/>
          <w:szCs w:val="24"/>
        </w:rPr>
        <w:t xml:space="preserve">The commercial insurance coverages maintained by Peak with third-party commercial carriers </w:t>
      </w:r>
      <w:r>
        <w:rPr>
          <w:rFonts w:ascii="Times New Roman" w:hAnsi="Times New Roman" w:cs="Times New Roman"/>
          <w:sz w:val="24"/>
          <w:szCs w:val="24"/>
        </w:rPr>
        <w:t xml:space="preserve">for </w:t>
      </w:r>
      <w:r w:rsidRPr="0036725A">
        <w:rPr>
          <w:rFonts w:ascii="Times New Roman" w:hAnsi="Times New Roman" w:cs="Times New Roman"/>
          <w:sz w:val="24"/>
          <w:szCs w:val="24"/>
        </w:rPr>
        <w:t xml:space="preserve">the tax years at issue (2008 – 2010) </w:t>
      </w:r>
      <w:r>
        <w:rPr>
          <w:rFonts w:ascii="Times New Roman" w:hAnsi="Times New Roman" w:cs="Times New Roman"/>
          <w:sz w:val="24"/>
          <w:szCs w:val="24"/>
        </w:rPr>
        <w:t xml:space="preserve">provided limited coverage: </w:t>
      </w:r>
    </w:p>
    <w:p w14:paraId="35D087D1" w14:textId="77777777" w:rsidR="00250577" w:rsidRPr="00EA1A2C" w:rsidRDefault="00250577" w:rsidP="00EA1A2C">
      <w:pPr>
        <w:spacing w:after="0" w:line="240" w:lineRule="auto"/>
        <w:rPr>
          <w:rFonts w:ascii="Times New Roman" w:hAnsi="Times New Roman" w:cs="Times New Roman"/>
          <w:sz w:val="24"/>
          <w:szCs w:val="24"/>
        </w:rPr>
      </w:pPr>
    </w:p>
    <w:p w14:paraId="05B900D5" w14:textId="5C66591B" w:rsidR="00250577" w:rsidRPr="00C148AB" w:rsidRDefault="00250577" w:rsidP="00FA1224">
      <w:pPr>
        <w:jc w:val="center"/>
        <w:rPr>
          <w:rFonts w:ascii="Times New Roman" w:hAnsi="Times New Roman" w:cs="Times New Roman"/>
          <w:b/>
          <w:sz w:val="24"/>
          <w:szCs w:val="24"/>
          <w:u w:val="single"/>
        </w:rPr>
      </w:pPr>
      <w:r w:rsidRPr="00C148AB">
        <w:rPr>
          <w:rFonts w:ascii="Times New Roman" w:hAnsi="Times New Roman" w:cs="Times New Roman"/>
          <w:b/>
          <w:sz w:val="24"/>
          <w:szCs w:val="24"/>
          <w:u w:val="single"/>
        </w:rPr>
        <w:t>Commercial Policies</w:t>
      </w:r>
    </w:p>
    <w:tbl>
      <w:tblPr>
        <w:tblStyle w:val="TableGrid"/>
        <w:tblW w:w="9000" w:type="dxa"/>
        <w:tblInd w:w="-5" w:type="dxa"/>
        <w:tblLook w:val="04A0" w:firstRow="1" w:lastRow="0" w:firstColumn="1" w:lastColumn="0" w:noHBand="0" w:noVBand="1"/>
      </w:tblPr>
      <w:tblGrid>
        <w:gridCol w:w="2430"/>
        <w:gridCol w:w="3600"/>
        <w:gridCol w:w="2970"/>
      </w:tblGrid>
      <w:tr w:rsidR="00250577" w:rsidRPr="00C148AB" w14:paraId="115CD3B4" w14:textId="77777777" w:rsidTr="000F64A1">
        <w:trPr>
          <w:tblHeader/>
        </w:trPr>
        <w:tc>
          <w:tcPr>
            <w:tcW w:w="2430" w:type="dxa"/>
          </w:tcPr>
          <w:p w14:paraId="2561A59A" w14:textId="77777777" w:rsidR="00250577" w:rsidRDefault="00250577" w:rsidP="00686CF7">
            <w:pPr>
              <w:rPr>
                <w:rFonts w:ascii="Times New Roman" w:hAnsi="Times New Roman" w:cs="Times New Roman"/>
                <w:b/>
                <w:sz w:val="20"/>
                <w:szCs w:val="20"/>
                <w:u w:val="single"/>
              </w:rPr>
            </w:pPr>
            <w:r w:rsidRPr="00C148AB">
              <w:rPr>
                <w:rFonts w:ascii="Times New Roman" w:hAnsi="Times New Roman" w:cs="Times New Roman"/>
                <w:b/>
                <w:sz w:val="20"/>
                <w:szCs w:val="20"/>
                <w:u w:val="single"/>
              </w:rPr>
              <w:t>Insurer</w:t>
            </w:r>
          </w:p>
          <w:p w14:paraId="2E1ABD98" w14:textId="77777777" w:rsidR="00250577" w:rsidRPr="00C148AB" w:rsidRDefault="00250577" w:rsidP="00686CF7">
            <w:pPr>
              <w:rPr>
                <w:rFonts w:ascii="Times New Roman" w:hAnsi="Times New Roman" w:cs="Times New Roman"/>
                <w:b/>
                <w:sz w:val="20"/>
                <w:szCs w:val="20"/>
                <w:u w:val="single"/>
              </w:rPr>
            </w:pPr>
          </w:p>
        </w:tc>
        <w:tc>
          <w:tcPr>
            <w:tcW w:w="3600" w:type="dxa"/>
          </w:tcPr>
          <w:p w14:paraId="52E82FFB" w14:textId="77777777" w:rsidR="00250577" w:rsidRPr="00C148AB" w:rsidRDefault="00250577" w:rsidP="00B643BB">
            <w:pPr>
              <w:jc w:val="center"/>
              <w:rPr>
                <w:rFonts w:ascii="Times New Roman" w:hAnsi="Times New Roman" w:cs="Times New Roman"/>
                <w:b/>
                <w:sz w:val="20"/>
                <w:szCs w:val="20"/>
                <w:u w:val="single"/>
              </w:rPr>
            </w:pPr>
            <w:r w:rsidRPr="00C148AB">
              <w:rPr>
                <w:rFonts w:ascii="Times New Roman" w:hAnsi="Times New Roman" w:cs="Times New Roman"/>
                <w:b/>
                <w:sz w:val="20"/>
                <w:szCs w:val="20"/>
                <w:u w:val="single"/>
              </w:rPr>
              <w:t>Policy Description</w:t>
            </w:r>
          </w:p>
        </w:tc>
        <w:tc>
          <w:tcPr>
            <w:tcW w:w="2970" w:type="dxa"/>
          </w:tcPr>
          <w:p w14:paraId="3085A021" w14:textId="77777777" w:rsidR="00250577" w:rsidRPr="00C148AB" w:rsidRDefault="00250577" w:rsidP="00B643BB">
            <w:pPr>
              <w:jc w:val="center"/>
              <w:rPr>
                <w:rFonts w:ascii="Times New Roman" w:hAnsi="Times New Roman" w:cs="Times New Roman"/>
                <w:b/>
                <w:sz w:val="20"/>
                <w:szCs w:val="20"/>
                <w:u w:val="single"/>
              </w:rPr>
            </w:pPr>
            <w:r w:rsidRPr="00C148AB">
              <w:rPr>
                <w:rFonts w:ascii="Times New Roman" w:hAnsi="Times New Roman" w:cs="Times New Roman"/>
                <w:b/>
                <w:sz w:val="20"/>
                <w:szCs w:val="20"/>
                <w:u w:val="single"/>
              </w:rPr>
              <w:t>Policy Limits</w:t>
            </w:r>
          </w:p>
        </w:tc>
      </w:tr>
      <w:tr w:rsidR="00250577" w:rsidRPr="00C148AB" w14:paraId="1E443E1D" w14:textId="77777777" w:rsidTr="000F64A1">
        <w:tc>
          <w:tcPr>
            <w:tcW w:w="2430" w:type="dxa"/>
          </w:tcPr>
          <w:p w14:paraId="31325F55" w14:textId="77777777" w:rsidR="00250577" w:rsidRPr="00C148AB" w:rsidRDefault="00250577" w:rsidP="00B06C99">
            <w:pPr>
              <w:rPr>
                <w:rFonts w:ascii="Times New Roman" w:hAnsi="Times New Roman" w:cs="Times New Roman"/>
                <w:sz w:val="20"/>
                <w:szCs w:val="20"/>
              </w:rPr>
            </w:pPr>
            <w:r w:rsidRPr="00C148AB">
              <w:rPr>
                <w:rFonts w:ascii="Times New Roman" w:hAnsi="Times New Roman" w:cs="Times New Roman"/>
                <w:sz w:val="20"/>
                <w:szCs w:val="20"/>
              </w:rPr>
              <w:t>Employers Mutual Casualty Co. (EMC)</w:t>
            </w:r>
          </w:p>
        </w:tc>
        <w:tc>
          <w:tcPr>
            <w:tcW w:w="3600" w:type="dxa"/>
          </w:tcPr>
          <w:p w14:paraId="74800988" w14:textId="77777777" w:rsidR="00250577" w:rsidRPr="00C148AB" w:rsidRDefault="00250577" w:rsidP="00B06C99">
            <w:pPr>
              <w:rPr>
                <w:rFonts w:ascii="Times New Roman" w:hAnsi="Times New Roman" w:cs="Times New Roman"/>
                <w:sz w:val="20"/>
                <w:szCs w:val="20"/>
              </w:rPr>
            </w:pPr>
            <w:r w:rsidRPr="00C148AB">
              <w:rPr>
                <w:rFonts w:ascii="Times New Roman" w:hAnsi="Times New Roman" w:cs="Times New Roman"/>
                <w:sz w:val="20"/>
                <w:szCs w:val="20"/>
              </w:rPr>
              <w:t>General liability (damage to rent premises, medical expense, personal and advertising injury, products/completed operations)</w:t>
            </w:r>
          </w:p>
        </w:tc>
        <w:tc>
          <w:tcPr>
            <w:tcW w:w="2970" w:type="dxa"/>
          </w:tcPr>
          <w:p w14:paraId="6EFA9573" w14:textId="77777777" w:rsidR="00250577" w:rsidRPr="00C148AB" w:rsidRDefault="00250577" w:rsidP="00B06C99">
            <w:pPr>
              <w:rPr>
                <w:rFonts w:ascii="Times New Roman" w:hAnsi="Times New Roman" w:cs="Times New Roman"/>
                <w:sz w:val="20"/>
                <w:szCs w:val="20"/>
              </w:rPr>
            </w:pPr>
            <w:r w:rsidRPr="00C148AB">
              <w:rPr>
                <w:rFonts w:ascii="Times New Roman" w:hAnsi="Times New Roman" w:cs="Times New Roman"/>
                <w:sz w:val="20"/>
                <w:szCs w:val="20"/>
              </w:rPr>
              <w:t>Ranging from $5,000 - $2 million depending on the category of coverage</w:t>
            </w:r>
          </w:p>
        </w:tc>
      </w:tr>
      <w:tr w:rsidR="00250577" w:rsidRPr="00C148AB" w14:paraId="0695874C" w14:textId="77777777" w:rsidTr="000F64A1">
        <w:tc>
          <w:tcPr>
            <w:tcW w:w="2430" w:type="dxa"/>
          </w:tcPr>
          <w:p w14:paraId="3B0F9037" w14:textId="77777777" w:rsidR="00250577" w:rsidRPr="00C148AB" w:rsidRDefault="00250577" w:rsidP="002A4683">
            <w:pPr>
              <w:rPr>
                <w:rFonts w:ascii="Times New Roman" w:hAnsi="Times New Roman" w:cs="Times New Roman"/>
                <w:sz w:val="20"/>
                <w:szCs w:val="20"/>
              </w:rPr>
            </w:pPr>
            <w:r w:rsidRPr="00C148AB">
              <w:rPr>
                <w:rFonts w:ascii="Times New Roman" w:hAnsi="Times New Roman" w:cs="Times New Roman"/>
                <w:sz w:val="20"/>
                <w:szCs w:val="20"/>
              </w:rPr>
              <w:t>EMC</w:t>
            </w:r>
          </w:p>
        </w:tc>
        <w:tc>
          <w:tcPr>
            <w:tcW w:w="3600" w:type="dxa"/>
          </w:tcPr>
          <w:p w14:paraId="5F1C51DD" w14:textId="77777777" w:rsidR="00250577" w:rsidRPr="00C148AB" w:rsidRDefault="00250577" w:rsidP="00E50E1E">
            <w:pPr>
              <w:rPr>
                <w:rFonts w:ascii="Times New Roman" w:hAnsi="Times New Roman" w:cs="Times New Roman"/>
                <w:sz w:val="20"/>
                <w:szCs w:val="20"/>
              </w:rPr>
            </w:pPr>
            <w:r w:rsidRPr="00C148AB">
              <w:rPr>
                <w:rFonts w:ascii="Times New Roman" w:hAnsi="Times New Roman" w:cs="Times New Roman"/>
                <w:sz w:val="20"/>
                <w:szCs w:val="20"/>
              </w:rPr>
              <w:t xml:space="preserve">Commercial Property </w:t>
            </w:r>
          </w:p>
        </w:tc>
        <w:tc>
          <w:tcPr>
            <w:tcW w:w="2970" w:type="dxa"/>
          </w:tcPr>
          <w:p w14:paraId="5C7D7ADA" w14:textId="77777777" w:rsidR="00250577" w:rsidRPr="00C148AB" w:rsidRDefault="00250577" w:rsidP="00530292">
            <w:pPr>
              <w:jc w:val="center"/>
              <w:rPr>
                <w:rFonts w:ascii="Times New Roman" w:hAnsi="Times New Roman" w:cs="Times New Roman"/>
                <w:sz w:val="20"/>
                <w:szCs w:val="20"/>
              </w:rPr>
            </w:pPr>
            <w:r w:rsidRPr="00C148AB">
              <w:rPr>
                <w:rFonts w:ascii="Times New Roman" w:hAnsi="Times New Roman" w:cs="Times New Roman"/>
                <w:sz w:val="20"/>
                <w:szCs w:val="20"/>
              </w:rPr>
              <w:t>$914,940</w:t>
            </w:r>
          </w:p>
          <w:p w14:paraId="54DEE8CB" w14:textId="77777777" w:rsidR="00250577" w:rsidRPr="00C148AB" w:rsidRDefault="00250577" w:rsidP="00C148AB">
            <w:pPr>
              <w:rPr>
                <w:rFonts w:ascii="Times New Roman" w:hAnsi="Times New Roman" w:cs="Times New Roman"/>
                <w:sz w:val="20"/>
                <w:szCs w:val="20"/>
              </w:rPr>
            </w:pPr>
          </w:p>
        </w:tc>
      </w:tr>
      <w:tr w:rsidR="00250577" w:rsidRPr="00C148AB" w14:paraId="5A303CCE" w14:textId="77777777" w:rsidTr="000F64A1">
        <w:tc>
          <w:tcPr>
            <w:tcW w:w="2430" w:type="dxa"/>
          </w:tcPr>
          <w:p w14:paraId="31741007" w14:textId="77777777" w:rsidR="00250577" w:rsidRPr="00C148AB" w:rsidRDefault="00250577" w:rsidP="00B06C99">
            <w:pPr>
              <w:rPr>
                <w:rFonts w:ascii="Times New Roman" w:hAnsi="Times New Roman" w:cs="Times New Roman"/>
                <w:sz w:val="20"/>
                <w:szCs w:val="20"/>
              </w:rPr>
            </w:pPr>
            <w:r w:rsidRPr="00C148AB">
              <w:rPr>
                <w:rFonts w:ascii="Times New Roman" w:hAnsi="Times New Roman" w:cs="Times New Roman"/>
                <w:sz w:val="20"/>
                <w:szCs w:val="20"/>
              </w:rPr>
              <w:t>EMC</w:t>
            </w:r>
          </w:p>
          <w:p w14:paraId="4C97B6D5" w14:textId="77777777" w:rsidR="00250577" w:rsidRPr="00C148AB" w:rsidRDefault="00250577" w:rsidP="00B06C99">
            <w:pPr>
              <w:rPr>
                <w:rFonts w:ascii="Times New Roman" w:hAnsi="Times New Roman" w:cs="Times New Roman"/>
                <w:sz w:val="20"/>
                <w:szCs w:val="20"/>
              </w:rPr>
            </w:pPr>
          </w:p>
        </w:tc>
        <w:tc>
          <w:tcPr>
            <w:tcW w:w="3600" w:type="dxa"/>
          </w:tcPr>
          <w:p w14:paraId="734DDE7F" w14:textId="77777777" w:rsidR="00250577" w:rsidRPr="00C148AB" w:rsidRDefault="00250577" w:rsidP="00B06C99">
            <w:pPr>
              <w:rPr>
                <w:rFonts w:ascii="Times New Roman" w:hAnsi="Times New Roman" w:cs="Times New Roman"/>
                <w:sz w:val="20"/>
                <w:szCs w:val="20"/>
              </w:rPr>
            </w:pPr>
            <w:r w:rsidRPr="00C148AB">
              <w:rPr>
                <w:rFonts w:ascii="Times New Roman" w:hAnsi="Times New Roman" w:cs="Times New Roman"/>
                <w:sz w:val="20"/>
                <w:szCs w:val="20"/>
              </w:rPr>
              <w:t>Commercial Inland Marine</w:t>
            </w:r>
          </w:p>
        </w:tc>
        <w:tc>
          <w:tcPr>
            <w:tcW w:w="2970" w:type="dxa"/>
          </w:tcPr>
          <w:p w14:paraId="0D5D952B" w14:textId="77777777" w:rsidR="00250577" w:rsidRPr="00C148AB" w:rsidRDefault="00250577" w:rsidP="00B06C99">
            <w:pPr>
              <w:jc w:val="center"/>
              <w:rPr>
                <w:rFonts w:ascii="Times New Roman" w:hAnsi="Times New Roman" w:cs="Times New Roman"/>
                <w:sz w:val="20"/>
                <w:szCs w:val="20"/>
              </w:rPr>
            </w:pPr>
            <w:r w:rsidRPr="00C148AB">
              <w:rPr>
                <w:rFonts w:ascii="Times New Roman" w:hAnsi="Times New Roman" w:cs="Times New Roman"/>
                <w:sz w:val="20"/>
                <w:szCs w:val="20"/>
              </w:rPr>
              <w:t>$8,000</w:t>
            </w:r>
          </w:p>
        </w:tc>
      </w:tr>
      <w:tr w:rsidR="00250577" w:rsidRPr="00C148AB" w14:paraId="1FA9465B" w14:textId="77777777" w:rsidTr="000F64A1">
        <w:tc>
          <w:tcPr>
            <w:tcW w:w="2430" w:type="dxa"/>
          </w:tcPr>
          <w:p w14:paraId="07998ECB" w14:textId="77777777" w:rsidR="00250577" w:rsidRPr="00C148AB" w:rsidRDefault="00250577" w:rsidP="00B06C99">
            <w:pPr>
              <w:rPr>
                <w:rFonts w:ascii="Times New Roman" w:hAnsi="Times New Roman" w:cs="Times New Roman"/>
                <w:sz w:val="20"/>
                <w:szCs w:val="20"/>
              </w:rPr>
            </w:pPr>
            <w:r w:rsidRPr="00C148AB">
              <w:rPr>
                <w:rFonts w:ascii="Times New Roman" w:hAnsi="Times New Roman" w:cs="Times New Roman"/>
                <w:sz w:val="20"/>
                <w:szCs w:val="20"/>
              </w:rPr>
              <w:t>Idaho State Insurance Fund</w:t>
            </w:r>
          </w:p>
        </w:tc>
        <w:tc>
          <w:tcPr>
            <w:tcW w:w="3600" w:type="dxa"/>
          </w:tcPr>
          <w:p w14:paraId="2907C110" w14:textId="77777777" w:rsidR="00250577" w:rsidRPr="00C148AB" w:rsidRDefault="00250577" w:rsidP="00B06C99">
            <w:pPr>
              <w:rPr>
                <w:rFonts w:ascii="Times New Roman" w:hAnsi="Times New Roman" w:cs="Times New Roman"/>
                <w:sz w:val="20"/>
                <w:szCs w:val="20"/>
              </w:rPr>
            </w:pPr>
            <w:r w:rsidRPr="00C148AB">
              <w:rPr>
                <w:rFonts w:ascii="Times New Roman" w:hAnsi="Times New Roman" w:cs="Times New Roman"/>
                <w:sz w:val="20"/>
                <w:szCs w:val="20"/>
              </w:rPr>
              <w:t>Workers compensation employer’s liability</w:t>
            </w:r>
          </w:p>
        </w:tc>
        <w:tc>
          <w:tcPr>
            <w:tcW w:w="2970" w:type="dxa"/>
          </w:tcPr>
          <w:p w14:paraId="298648F2" w14:textId="77777777" w:rsidR="00250577" w:rsidRPr="00C148AB" w:rsidRDefault="00250577" w:rsidP="00C148AB">
            <w:pPr>
              <w:rPr>
                <w:rFonts w:ascii="Times New Roman" w:hAnsi="Times New Roman" w:cs="Times New Roman"/>
                <w:sz w:val="20"/>
                <w:szCs w:val="20"/>
              </w:rPr>
            </w:pPr>
            <w:r w:rsidRPr="00C148AB">
              <w:rPr>
                <w:rFonts w:ascii="Times New Roman" w:hAnsi="Times New Roman" w:cs="Times New Roman"/>
                <w:sz w:val="20"/>
                <w:szCs w:val="20"/>
              </w:rPr>
              <w:t>$500,000 aggregate policy limit</w:t>
            </w:r>
          </w:p>
        </w:tc>
      </w:tr>
      <w:tr w:rsidR="00250577" w:rsidRPr="00C148AB" w14:paraId="29AB5BEF" w14:textId="77777777" w:rsidTr="000F64A1">
        <w:tc>
          <w:tcPr>
            <w:tcW w:w="2430" w:type="dxa"/>
          </w:tcPr>
          <w:p w14:paraId="3BFCCDC0" w14:textId="77777777" w:rsidR="00250577" w:rsidRPr="00C148AB" w:rsidRDefault="00250577" w:rsidP="00B06C99">
            <w:pPr>
              <w:rPr>
                <w:rFonts w:ascii="Times New Roman" w:hAnsi="Times New Roman" w:cs="Times New Roman"/>
                <w:sz w:val="20"/>
                <w:szCs w:val="20"/>
              </w:rPr>
            </w:pPr>
          </w:p>
          <w:p w14:paraId="6C6E1D88" w14:textId="77777777" w:rsidR="00250577" w:rsidRPr="00C148AB" w:rsidRDefault="00250577" w:rsidP="00B06C99">
            <w:pPr>
              <w:rPr>
                <w:rFonts w:ascii="Times New Roman" w:hAnsi="Times New Roman" w:cs="Times New Roman"/>
                <w:sz w:val="20"/>
                <w:szCs w:val="20"/>
              </w:rPr>
            </w:pPr>
            <w:r w:rsidRPr="00C148AB">
              <w:rPr>
                <w:rFonts w:ascii="Times New Roman" w:hAnsi="Times New Roman" w:cs="Times New Roman"/>
                <w:sz w:val="20"/>
                <w:szCs w:val="20"/>
              </w:rPr>
              <w:t>Ace American Insurance Co.</w:t>
            </w:r>
          </w:p>
        </w:tc>
        <w:tc>
          <w:tcPr>
            <w:tcW w:w="3600" w:type="dxa"/>
          </w:tcPr>
          <w:p w14:paraId="576FE1FE" w14:textId="77777777" w:rsidR="00250577" w:rsidRPr="00C148AB" w:rsidRDefault="00250577" w:rsidP="00B06C99">
            <w:pPr>
              <w:rPr>
                <w:rFonts w:ascii="Times New Roman" w:hAnsi="Times New Roman" w:cs="Times New Roman"/>
                <w:sz w:val="20"/>
                <w:szCs w:val="20"/>
              </w:rPr>
            </w:pPr>
            <w:r w:rsidRPr="00C148AB">
              <w:rPr>
                <w:rFonts w:ascii="Times New Roman" w:hAnsi="Times New Roman" w:cs="Times New Roman"/>
                <w:sz w:val="20"/>
                <w:szCs w:val="20"/>
              </w:rPr>
              <w:t>International risk policy (foreign general liability, automobile liability, employer’s liability); foreign accidental death and dismemberment; kidnap &amp; extortion</w:t>
            </w:r>
          </w:p>
        </w:tc>
        <w:tc>
          <w:tcPr>
            <w:tcW w:w="2970" w:type="dxa"/>
          </w:tcPr>
          <w:p w14:paraId="7A3DA337" w14:textId="77777777" w:rsidR="00250577" w:rsidRPr="00C148AB" w:rsidRDefault="00250577" w:rsidP="00C148AB">
            <w:pPr>
              <w:rPr>
                <w:rFonts w:ascii="Times New Roman" w:hAnsi="Times New Roman" w:cs="Times New Roman"/>
                <w:sz w:val="20"/>
                <w:szCs w:val="20"/>
              </w:rPr>
            </w:pPr>
            <w:r w:rsidRPr="00C148AB">
              <w:rPr>
                <w:rFonts w:ascii="Times New Roman" w:hAnsi="Times New Roman" w:cs="Times New Roman"/>
                <w:sz w:val="20"/>
                <w:szCs w:val="20"/>
              </w:rPr>
              <w:t>Ranging from $5,000 - $1 million depending on category of coverage</w:t>
            </w:r>
          </w:p>
        </w:tc>
      </w:tr>
      <w:tr w:rsidR="00250577" w:rsidRPr="00C148AB" w14:paraId="2EBB90C9" w14:textId="77777777" w:rsidTr="000F64A1">
        <w:tc>
          <w:tcPr>
            <w:tcW w:w="2430" w:type="dxa"/>
          </w:tcPr>
          <w:p w14:paraId="2DF2A97B" w14:textId="77777777" w:rsidR="00250577" w:rsidRPr="00C148AB" w:rsidRDefault="00250577" w:rsidP="00B06C99">
            <w:pPr>
              <w:rPr>
                <w:rFonts w:ascii="Times New Roman" w:hAnsi="Times New Roman" w:cs="Times New Roman"/>
                <w:sz w:val="20"/>
                <w:szCs w:val="20"/>
              </w:rPr>
            </w:pPr>
            <w:r w:rsidRPr="00C148AB">
              <w:rPr>
                <w:rFonts w:ascii="Times New Roman" w:hAnsi="Times New Roman" w:cs="Times New Roman"/>
                <w:sz w:val="20"/>
                <w:szCs w:val="20"/>
              </w:rPr>
              <w:t>State Farm</w:t>
            </w:r>
          </w:p>
        </w:tc>
        <w:tc>
          <w:tcPr>
            <w:tcW w:w="3600" w:type="dxa"/>
          </w:tcPr>
          <w:p w14:paraId="515C9C5D" w14:textId="77777777" w:rsidR="00250577" w:rsidRPr="00C148AB" w:rsidRDefault="00250577" w:rsidP="00B06C99">
            <w:pPr>
              <w:rPr>
                <w:rFonts w:ascii="Times New Roman" w:hAnsi="Times New Roman" w:cs="Times New Roman"/>
                <w:sz w:val="20"/>
                <w:szCs w:val="20"/>
              </w:rPr>
            </w:pPr>
            <w:r w:rsidRPr="00C148AB">
              <w:rPr>
                <w:rFonts w:ascii="Times New Roman" w:hAnsi="Times New Roman" w:cs="Times New Roman"/>
                <w:sz w:val="20"/>
                <w:szCs w:val="20"/>
              </w:rPr>
              <w:t>Auto liability for vehicles driven by employees</w:t>
            </w:r>
          </w:p>
        </w:tc>
        <w:tc>
          <w:tcPr>
            <w:tcW w:w="2970" w:type="dxa"/>
          </w:tcPr>
          <w:p w14:paraId="68E77CF7" w14:textId="77777777" w:rsidR="00250577" w:rsidRPr="00C148AB" w:rsidRDefault="00250577" w:rsidP="00B06C99">
            <w:pPr>
              <w:rPr>
                <w:rFonts w:ascii="Times New Roman" w:hAnsi="Times New Roman" w:cs="Times New Roman"/>
                <w:sz w:val="20"/>
                <w:szCs w:val="20"/>
              </w:rPr>
            </w:pPr>
            <w:r w:rsidRPr="0017098E">
              <w:rPr>
                <w:rFonts w:ascii="Times New Roman" w:hAnsi="Times New Roman" w:cs="Times New Roman"/>
                <w:sz w:val="20"/>
                <w:szCs w:val="20"/>
              </w:rPr>
              <w:t>Dif</w:t>
            </w:r>
            <w:r>
              <w:rPr>
                <w:rFonts w:ascii="Times New Roman" w:hAnsi="Times New Roman" w:cs="Times New Roman"/>
                <w:sz w:val="20"/>
                <w:szCs w:val="20"/>
              </w:rPr>
              <w:t>fering limits depending on type of vehicle insured and category of coverage (bodily injury, property damage, etc.)</w:t>
            </w:r>
          </w:p>
          <w:p w14:paraId="13B20020" w14:textId="77777777" w:rsidR="00250577" w:rsidRPr="00C148AB" w:rsidRDefault="00250577" w:rsidP="00B06C99">
            <w:pPr>
              <w:rPr>
                <w:rFonts w:ascii="Times New Roman" w:hAnsi="Times New Roman" w:cs="Times New Roman"/>
                <w:sz w:val="20"/>
                <w:szCs w:val="20"/>
              </w:rPr>
            </w:pPr>
          </w:p>
        </w:tc>
      </w:tr>
    </w:tbl>
    <w:p w14:paraId="6CAE3B98" w14:textId="77777777" w:rsidR="00250577" w:rsidRPr="006C54F2" w:rsidRDefault="00250577" w:rsidP="00C148AB">
      <w:pPr>
        <w:spacing w:after="0" w:line="240" w:lineRule="auto"/>
        <w:rPr>
          <w:rFonts w:ascii="Times New Roman" w:hAnsi="Times New Roman" w:cs="Times New Roman"/>
        </w:rPr>
      </w:pPr>
    </w:p>
    <w:p w14:paraId="1A6CB5B1" w14:textId="07EF708B" w:rsidR="00250577" w:rsidRDefault="00250577" w:rsidP="003E47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IRC Section 501(c)(15), similar to IRC Section 831(b), expresses Congress’ intent to encourage businesses to broadly insure their risks by facilitating setting aside monies to fund future losses in an insurer, which need not be unrelated, all in furtherance of enhancing the long-term success of such businesses.  Statutory tax incentives are provided to encourage insurance company formation for small businesses.  In the case of IRC Section 501(c)(15), a property and casualty insurance company </w:t>
      </w:r>
      <w:r w:rsidRPr="007504CE">
        <w:rPr>
          <w:rFonts w:ascii="Times New Roman" w:hAnsi="Times New Roman" w:cs="Times New Roman"/>
          <w:sz w:val="24"/>
          <w:szCs w:val="24"/>
        </w:rPr>
        <w:t>is generally exempt from federal income tax if (1) its gross receipts for the taxable year do not exceed $600,000, and (2) more than 50 percent of such gross receipts consist of insurance premiums.</w:t>
      </w:r>
      <w:r w:rsidRPr="007504CE">
        <w:rPr>
          <w:rStyle w:val="EndnoteReference"/>
          <w:rFonts w:ascii="Times New Roman" w:hAnsi="Times New Roman" w:cs="Times New Roman"/>
          <w:sz w:val="24"/>
          <w:szCs w:val="24"/>
        </w:rPr>
        <w:endnoteReference w:id="65"/>
      </w:r>
      <w:r w:rsidRPr="007504CE">
        <w:rPr>
          <w:rFonts w:ascii="Times New Roman" w:hAnsi="Times New Roman" w:cs="Times New Roman"/>
          <w:sz w:val="24"/>
          <w:szCs w:val="24"/>
        </w:rPr>
        <w:t xml:space="preserve">  Taxes are payable by the shareholders of the insurer upon the insurer’s liquidation</w:t>
      </w:r>
      <w:r>
        <w:rPr>
          <w:rStyle w:val="EndnoteReference"/>
          <w:rFonts w:ascii="Times New Roman" w:hAnsi="Times New Roman" w:cs="Times New Roman"/>
          <w:sz w:val="24"/>
          <w:szCs w:val="24"/>
        </w:rPr>
        <w:endnoteReference w:id="66"/>
      </w:r>
      <w:r>
        <w:rPr>
          <w:rFonts w:ascii="Times New Roman" w:hAnsi="Times New Roman" w:cs="Times New Roman"/>
          <w:sz w:val="24"/>
          <w:szCs w:val="24"/>
        </w:rPr>
        <w:t xml:space="preserve"> resulting in at best a deferral, not an avoidance, of tax.  Analogous deferral provisions exist under Code Section 831(a) and (b).  There have been numerous cases involving captive insurance arrangements over the last 40+ years, in which the taxpayer has succeeded in overcoming government challenges.</w:t>
      </w:r>
      <w:r>
        <w:rPr>
          <w:rStyle w:val="EndnoteReference"/>
          <w:rFonts w:ascii="Times New Roman" w:hAnsi="Times New Roman" w:cs="Times New Roman"/>
          <w:sz w:val="24"/>
          <w:szCs w:val="24"/>
        </w:rPr>
        <w:endnoteReference w:id="67"/>
      </w:r>
      <w:r>
        <w:rPr>
          <w:rFonts w:ascii="Times New Roman" w:hAnsi="Times New Roman" w:cs="Times New Roman"/>
          <w:sz w:val="24"/>
          <w:szCs w:val="24"/>
        </w:rPr>
        <w:t xml:space="preserve">  These case precedents addressed what constitutes an </w:t>
      </w:r>
      <w:r>
        <w:rPr>
          <w:rFonts w:ascii="Times New Roman" w:hAnsi="Times New Roman" w:cs="Times New Roman"/>
          <w:sz w:val="24"/>
          <w:szCs w:val="24"/>
        </w:rPr>
        <w:lastRenderedPageBreak/>
        <w:t xml:space="preserve">“insurance company” for federal income tax purposes and do not distinguish between a “small” versus “large” captives.  The only cases addressing “small” captives are </w:t>
      </w:r>
      <w:r w:rsidRPr="00862184">
        <w:rPr>
          <w:rFonts w:ascii="Times New Roman" w:hAnsi="Times New Roman" w:cs="Times New Roman"/>
          <w:i/>
          <w:sz w:val="24"/>
          <w:szCs w:val="24"/>
        </w:rPr>
        <w:t>Avrahami</w:t>
      </w:r>
      <w:r>
        <w:rPr>
          <w:rFonts w:ascii="Times New Roman" w:hAnsi="Times New Roman" w:cs="Times New Roman"/>
          <w:i/>
          <w:sz w:val="24"/>
          <w:szCs w:val="24"/>
        </w:rPr>
        <w:t xml:space="preserve"> v. Commissioner</w:t>
      </w:r>
      <w:r w:rsidRPr="007A7270">
        <w:rPr>
          <w:rStyle w:val="EndnoteReference"/>
          <w:rFonts w:ascii="Times New Roman" w:hAnsi="Times New Roman" w:cs="Times New Roman"/>
          <w:sz w:val="24"/>
          <w:szCs w:val="24"/>
        </w:rPr>
        <w:endnoteReference w:id="68"/>
      </w:r>
      <w:r w:rsidRPr="007A7270">
        <w:rPr>
          <w:rFonts w:ascii="Times New Roman" w:hAnsi="Times New Roman" w:cs="Times New Roman"/>
          <w:sz w:val="24"/>
          <w:szCs w:val="24"/>
        </w:rPr>
        <w:t xml:space="preserve"> </w:t>
      </w:r>
      <w:r>
        <w:rPr>
          <w:rFonts w:ascii="Times New Roman" w:hAnsi="Times New Roman" w:cs="Times New Roman"/>
          <w:sz w:val="24"/>
          <w:szCs w:val="24"/>
        </w:rPr>
        <w:t xml:space="preserve">in 2017 (regarding Section 831(b)) and now </w:t>
      </w:r>
      <w:r w:rsidRPr="00862184">
        <w:rPr>
          <w:rFonts w:ascii="Times New Roman" w:hAnsi="Times New Roman" w:cs="Times New Roman"/>
          <w:i/>
          <w:sz w:val="24"/>
          <w:szCs w:val="24"/>
        </w:rPr>
        <w:t>Reserve</w:t>
      </w:r>
      <w:r>
        <w:rPr>
          <w:rFonts w:ascii="Times New Roman" w:hAnsi="Times New Roman" w:cs="Times New Roman"/>
          <w:sz w:val="24"/>
          <w:szCs w:val="24"/>
        </w:rPr>
        <w:t xml:space="preserve"> (regarding Section 501(c)(15)) in 2018. Yet, the Court has created differing standards for these small insurers, unsupported by authority.</w:t>
      </w:r>
    </w:p>
    <w:p w14:paraId="56403CF3" w14:textId="77777777" w:rsidR="00250577" w:rsidRDefault="00250577" w:rsidP="003E4738">
      <w:pPr>
        <w:spacing w:after="0" w:line="240" w:lineRule="auto"/>
        <w:rPr>
          <w:rFonts w:ascii="Times New Roman" w:hAnsi="Times New Roman" w:cs="Times New Roman"/>
          <w:sz w:val="24"/>
          <w:szCs w:val="24"/>
        </w:rPr>
      </w:pPr>
    </w:p>
    <w:p w14:paraId="7331287B" w14:textId="74243904" w:rsidR="00250577" w:rsidRDefault="00250577" w:rsidP="003E47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noted, the </w:t>
      </w:r>
      <w:r w:rsidRPr="00ED4C3A">
        <w:rPr>
          <w:rFonts w:ascii="Times New Roman" w:hAnsi="Times New Roman" w:cs="Times New Roman"/>
          <w:i/>
          <w:sz w:val="24"/>
          <w:szCs w:val="24"/>
        </w:rPr>
        <w:t>Avrahami</w:t>
      </w:r>
      <w:r>
        <w:rPr>
          <w:rFonts w:ascii="Times New Roman" w:hAnsi="Times New Roman" w:cs="Times New Roman"/>
          <w:sz w:val="24"/>
          <w:szCs w:val="24"/>
        </w:rPr>
        <w:t xml:space="preserve"> </w:t>
      </w:r>
      <w:r w:rsidR="00716E36">
        <w:rPr>
          <w:rFonts w:ascii="Times New Roman" w:hAnsi="Times New Roman" w:cs="Times New Roman"/>
          <w:sz w:val="24"/>
          <w:szCs w:val="24"/>
        </w:rPr>
        <w:t>O</w:t>
      </w:r>
      <w:r>
        <w:rPr>
          <w:rFonts w:ascii="Times New Roman" w:hAnsi="Times New Roman" w:cs="Times New Roman"/>
          <w:sz w:val="24"/>
          <w:szCs w:val="24"/>
        </w:rPr>
        <w:t xml:space="preserve">pinion was issued after the conclusion of trial in </w:t>
      </w:r>
      <w:r w:rsidRPr="00ED4C3A">
        <w:rPr>
          <w:rFonts w:ascii="Times New Roman" w:hAnsi="Times New Roman" w:cs="Times New Roman"/>
          <w:i/>
          <w:sz w:val="24"/>
          <w:szCs w:val="24"/>
        </w:rPr>
        <w:t>Reserve</w:t>
      </w:r>
      <w:r>
        <w:rPr>
          <w:rFonts w:ascii="Times New Roman" w:hAnsi="Times New Roman" w:cs="Times New Roman"/>
          <w:i/>
          <w:sz w:val="24"/>
          <w:szCs w:val="24"/>
        </w:rPr>
        <w:t xml:space="preserve"> </w:t>
      </w:r>
      <w:r w:rsidRPr="00BA1483">
        <w:rPr>
          <w:rFonts w:ascii="Times New Roman" w:hAnsi="Times New Roman" w:cs="Times New Roman"/>
          <w:sz w:val="24"/>
          <w:szCs w:val="24"/>
        </w:rPr>
        <w:t>but before briefing was completed.  Nonetheless</w:t>
      </w:r>
      <w:r>
        <w:rPr>
          <w:rFonts w:ascii="Times New Roman" w:hAnsi="Times New Roman" w:cs="Times New Roman"/>
          <w:sz w:val="24"/>
          <w:szCs w:val="24"/>
        </w:rPr>
        <w:t xml:space="preserve">, the Court’s approach was to decide </w:t>
      </w:r>
      <w:r w:rsidRPr="00ED4C3A">
        <w:rPr>
          <w:rFonts w:ascii="Times New Roman" w:hAnsi="Times New Roman" w:cs="Times New Roman"/>
          <w:i/>
          <w:sz w:val="24"/>
          <w:szCs w:val="24"/>
        </w:rPr>
        <w:t>Reserve</w:t>
      </w:r>
      <w:r>
        <w:rPr>
          <w:rFonts w:ascii="Times New Roman" w:hAnsi="Times New Roman" w:cs="Times New Roman"/>
          <w:sz w:val="24"/>
          <w:szCs w:val="24"/>
        </w:rPr>
        <w:t xml:space="preserve"> as if it were in the same jurisdictional and factual posture as </w:t>
      </w:r>
      <w:r w:rsidRPr="00ED4C3A">
        <w:rPr>
          <w:rFonts w:ascii="Times New Roman" w:hAnsi="Times New Roman" w:cs="Times New Roman"/>
          <w:i/>
          <w:sz w:val="24"/>
          <w:szCs w:val="24"/>
        </w:rPr>
        <w:t>Avrahami</w:t>
      </w:r>
      <w:r>
        <w:rPr>
          <w:rFonts w:ascii="Times New Roman" w:hAnsi="Times New Roman" w:cs="Times New Roman"/>
          <w:sz w:val="24"/>
          <w:szCs w:val="24"/>
        </w:rPr>
        <w:t xml:space="preserve">, demanding evidence with respect to issues that were not even contested by the parties during the </w:t>
      </w:r>
      <w:r w:rsidRPr="00ED4C3A">
        <w:rPr>
          <w:rFonts w:ascii="Times New Roman" w:hAnsi="Times New Roman" w:cs="Times New Roman"/>
          <w:i/>
          <w:sz w:val="24"/>
          <w:szCs w:val="24"/>
        </w:rPr>
        <w:t>Reserve</w:t>
      </w:r>
      <w:r>
        <w:rPr>
          <w:rFonts w:ascii="Times New Roman" w:hAnsi="Times New Roman" w:cs="Times New Roman"/>
          <w:sz w:val="24"/>
          <w:szCs w:val="24"/>
        </w:rPr>
        <w:t xml:space="preserve"> trial but which were at issue in </w:t>
      </w:r>
      <w:r w:rsidRPr="00AD3708">
        <w:rPr>
          <w:rFonts w:ascii="Times New Roman" w:hAnsi="Times New Roman" w:cs="Times New Roman"/>
          <w:i/>
          <w:sz w:val="24"/>
          <w:szCs w:val="24"/>
        </w:rPr>
        <w:t>Avrahami</w:t>
      </w:r>
      <w:r>
        <w:rPr>
          <w:rFonts w:ascii="Times New Roman" w:hAnsi="Times New Roman" w:cs="Times New Roman"/>
          <w:sz w:val="24"/>
          <w:szCs w:val="24"/>
        </w:rPr>
        <w:t xml:space="preserve">.  As discussed below, the </w:t>
      </w:r>
      <w:r w:rsidRPr="00DE222D">
        <w:rPr>
          <w:rFonts w:ascii="Times New Roman" w:hAnsi="Times New Roman" w:cs="Times New Roman"/>
          <w:i/>
          <w:sz w:val="24"/>
          <w:szCs w:val="24"/>
        </w:rPr>
        <w:t>Reserve</w:t>
      </w:r>
      <w:r>
        <w:rPr>
          <w:rFonts w:ascii="Times New Roman" w:hAnsi="Times New Roman" w:cs="Times New Roman"/>
          <w:sz w:val="24"/>
          <w:szCs w:val="24"/>
        </w:rPr>
        <w:t xml:space="preserve"> Court improperly shoehorned its findings to fit them within the holdings of the </w:t>
      </w:r>
      <w:r w:rsidRPr="00AD3708">
        <w:rPr>
          <w:rFonts w:ascii="Times New Roman" w:hAnsi="Times New Roman" w:cs="Times New Roman"/>
          <w:i/>
          <w:sz w:val="24"/>
          <w:szCs w:val="24"/>
        </w:rPr>
        <w:t>Avrahami</w:t>
      </w:r>
      <w:r>
        <w:rPr>
          <w:rFonts w:ascii="Times New Roman" w:hAnsi="Times New Roman" w:cs="Times New Roman"/>
          <w:sz w:val="24"/>
          <w:szCs w:val="24"/>
        </w:rPr>
        <w:t xml:space="preserve"> opinion.</w:t>
      </w:r>
    </w:p>
    <w:p w14:paraId="3FEAF709" w14:textId="77777777" w:rsidR="00250577" w:rsidRDefault="00250577" w:rsidP="00E60AC4">
      <w:pPr>
        <w:spacing w:after="0" w:line="240" w:lineRule="auto"/>
        <w:rPr>
          <w:rFonts w:ascii="Times New Roman" w:hAnsi="Times New Roman" w:cs="Times New Roman"/>
          <w:sz w:val="24"/>
          <w:szCs w:val="24"/>
        </w:rPr>
      </w:pPr>
    </w:p>
    <w:p w14:paraId="3413F3F4" w14:textId="77777777" w:rsidR="00250577" w:rsidRDefault="00250577" w:rsidP="00E60A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Reserve issued insurance policies nonduplicative </w:t>
      </w:r>
      <w:r w:rsidRPr="0036725A">
        <w:rPr>
          <w:rFonts w:ascii="Times New Roman" w:hAnsi="Times New Roman" w:cs="Times New Roman"/>
          <w:sz w:val="24"/>
          <w:szCs w:val="24"/>
        </w:rPr>
        <w:t xml:space="preserve">with any of </w:t>
      </w:r>
      <w:r>
        <w:rPr>
          <w:rFonts w:ascii="Times New Roman" w:hAnsi="Times New Roman" w:cs="Times New Roman"/>
          <w:sz w:val="24"/>
          <w:szCs w:val="24"/>
        </w:rPr>
        <w:t xml:space="preserve">its direct insureds’ </w:t>
      </w:r>
      <w:r w:rsidRPr="0036725A">
        <w:rPr>
          <w:rFonts w:ascii="Times New Roman" w:hAnsi="Times New Roman" w:cs="Times New Roman"/>
          <w:sz w:val="24"/>
          <w:szCs w:val="24"/>
        </w:rPr>
        <w:t>commercial policies</w:t>
      </w:r>
      <w:r>
        <w:rPr>
          <w:rFonts w:ascii="Times New Roman" w:hAnsi="Times New Roman" w:cs="Times New Roman"/>
          <w:sz w:val="24"/>
          <w:szCs w:val="24"/>
        </w:rPr>
        <w:t xml:space="preserve">.  All of Reserve’s </w:t>
      </w:r>
      <w:r w:rsidRPr="0036725A">
        <w:rPr>
          <w:rFonts w:ascii="Times New Roman" w:hAnsi="Times New Roman" w:cs="Times New Roman"/>
          <w:sz w:val="24"/>
          <w:szCs w:val="24"/>
        </w:rPr>
        <w:t>policies</w:t>
      </w:r>
      <w:r>
        <w:rPr>
          <w:rFonts w:ascii="Times New Roman" w:hAnsi="Times New Roman" w:cs="Times New Roman"/>
          <w:sz w:val="24"/>
          <w:szCs w:val="24"/>
        </w:rPr>
        <w:t xml:space="preserve"> were</w:t>
      </w:r>
      <w:r w:rsidRPr="0036725A">
        <w:rPr>
          <w:rFonts w:ascii="Times New Roman" w:hAnsi="Times New Roman" w:cs="Times New Roman"/>
          <w:sz w:val="24"/>
          <w:szCs w:val="24"/>
        </w:rPr>
        <w:t xml:space="preserve"> </w:t>
      </w:r>
      <w:r w:rsidRPr="00634DF1">
        <w:rPr>
          <w:rFonts w:ascii="Times New Roman" w:hAnsi="Times New Roman" w:cs="Times New Roman"/>
          <w:b/>
          <w:i/>
          <w:sz w:val="24"/>
          <w:szCs w:val="24"/>
        </w:rPr>
        <w:t>jointly written</w:t>
      </w:r>
      <w:r w:rsidRPr="0036725A">
        <w:rPr>
          <w:rFonts w:ascii="Times New Roman" w:hAnsi="Times New Roman" w:cs="Times New Roman"/>
          <w:sz w:val="24"/>
          <w:szCs w:val="24"/>
        </w:rPr>
        <w:t xml:space="preserve"> by Reserve and PoolRe (between 11 and 13 direct written policies, depending on the year at issue)</w:t>
      </w:r>
      <w:r>
        <w:rPr>
          <w:rFonts w:ascii="Times New Roman" w:hAnsi="Times New Roman" w:cs="Times New Roman"/>
          <w:sz w:val="24"/>
          <w:szCs w:val="24"/>
        </w:rPr>
        <w:t xml:space="preserve"> as follows</w:t>
      </w:r>
      <w:r w:rsidRPr="0036725A">
        <w:rPr>
          <w:rFonts w:ascii="Times New Roman" w:hAnsi="Times New Roman" w:cs="Times New Roman"/>
          <w:sz w:val="24"/>
          <w:szCs w:val="24"/>
        </w:rPr>
        <w:t>:</w:t>
      </w:r>
    </w:p>
    <w:p w14:paraId="3C9D7055" w14:textId="77777777" w:rsidR="00250577" w:rsidRPr="006C54F2" w:rsidRDefault="00250577" w:rsidP="00C148AB">
      <w:pPr>
        <w:spacing w:after="0" w:line="240" w:lineRule="auto"/>
        <w:rPr>
          <w:rFonts w:ascii="Times New Roman" w:hAnsi="Times New Roman" w:cs="Times New Roman"/>
          <w:sz w:val="24"/>
          <w:szCs w:val="24"/>
        </w:rPr>
      </w:pPr>
    </w:p>
    <w:p w14:paraId="7EEB3209" w14:textId="77777777" w:rsidR="00250577" w:rsidRPr="00C148AB" w:rsidRDefault="00250577" w:rsidP="00FA1224">
      <w:pPr>
        <w:jc w:val="center"/>
        <w:rPr>
          <w:rFonts w:ascii="Times New Roman" w:hAnsi="Times New Roman" w:cs="Times New Roman"/>
          <w:b/>
          <w:sz w:val="24"/>
          <w:szCs w:val="24"/>
          <w:u w:val="single"/>
        </w:rPr>
      </w:pPr>
      <w:r w:rsidRPr="00C148AB">
        <w:rPr>
          <w:rFonts w:ascii="Times New Roman" w:hAnsi="Times New Roman" w:cs="Times New Roman"/>
          <w:b/>
          <w:sz w:val="24"/>
          <w:szCs w:val="24"/>
          <w:u w:val="single"/>
        </w:rPr>
        <w:t>Policies Issued by Reserve</w:t>
      </w:r>
    </w:p>
    <w:tbl>
      <w:tblPr>
        <w:tblStyle w:val="TableGrid"/>
        <w:tblW w:w="9000" w:type="dxa"/>
        <w:tblInd w:w="-5" w:type="dxa"/>
        <w:tblLook w:val="04A0" w:firstRow="1" w:lastRow="0" w:firstColumn="1" w:lastColumn="0" w:noHBand="0" w:noVBand="1"/>
      </w:tblPr>
      <w:tblGrid>
        <w:gridCol w:w="2430"/>
        <w:gridCol w:w="3600"/>
        <w:gridCol w:w="2970"/>
      </w:tblGrid>
      <w:tr w:rsidR="00250577" w:rsidRPr="006C54F2" w14:paraId="1201B4DC" w14:textId="77777777" w:rsidTr="000F64A1">
        <w:tc>
          <w:tcPr>
            <w:tcW w:w="2430" w:type="dxa"/>
          </w:tcPr>
          <w:p w14:paraId="1FEB7636" w14:textId="77777777" w:rsidR="00250577" w:rsidRPr="00C148AB" w:rsidRDefault="00250577" w:rsidP="005E6F71">
            <w:pPr>
              <w:rPr>
                <w:rFonts w:ascii="Times New Roman" w:hAnsi="Times New Roman" w:cs="Times New Roman"/>
                <w:b/>
                <w:sz w:val="20"/>
                <w:szCs w:val="20"/>
                <w:u w:val="single"/>
              </w:rPr>
            </w:pPr>
            <w:r>
              <w:rPr>
                <w:rFonts w:ascii="Times New Roman" w:hAnsi="Times New Roman" w:cs="Times New Roman"/>
                <w:b/>
                <w:sz w:val="20"/>
                <w:szCs w:val="20"/>
                <w:u w:val="single"/>
              </w:rPr>
              <w:t xml:space="preserve">Joint </w:t>
            </w:r>
            <w:r w:rsidRPr="00C148AB">
              <w:rPr>
                <w:rFonts w:ascii="Times New Roman" w:hAnsi="Times New Roman" w:cs="Times New Roman"/>
                <w:b/>
                <w:sz w:val="20"/>
                <w:szCs w:val="20"/>
                <w:u w:val="single"/>
              </w:rPr>
              <w:t>Insurer</w:t>
            </w:r>
            <w:r>
              <w:rPr>
                <w:rFonts w:ascii="Times New Roman" w:hAnsi="Times New Roman" w:cs="Times New Roman"/>
                <w:b/>
                <w:sz w:val="20"/>
                <w:szCs w:val="20"/>
                <w:u w:val="single"/>
              </w:rPr>
              <w:t>s</w:t>
            </w:r>
          </w:p>
        </w:tc>
        <w:tc>
          <w:tcPr>
            <w:tcW w:w="3600" w:type="dxa"/>
          </w:tcPr>
          <w:p w14:paraId="2722C1AC" w14:textId="77777777" w:rsidR="00250577" w:rsidRPr="00C148AB" w:rsidRDefault="00250577" w:rsidP="004C3A24">
            <w:pPr>
              <w:jc w:val="center"/>
              <w:rPr>
                <w:rFonts w:ascii="Times New Roman" w:hAnsi="Times New Roman" w:cs="Times New Roman"/>
                <w:b/>
                <w:sz w:val="20"/>
                <w:szCs w:val="20"/>
                <w:u w:val="single"/>
              </w:rPr>
            </w:pPr>
            <w:r w:rsidRPr="00C148AB">
              <w:rPr>
                <w:rFonts w:ascii="Times New Roman" w:hAnsi="Times New Roman" w:cs="Times New Roman"/>
                <w:b/>
                <w:sz w:val="20"/>
                <w:szCs w:val="20"/>
                <w:u w:val="single"/>
              </w:rPr>
              <w:t>Policy Description</w:t>
            </w:r>
          </w:p>
        </w:tc>
        <w:tc>
          <w:tcPr>
            <w:tcW w:w="2970" w:type="dxa"/>
          </w:tcPr>
          <w:p w14:paraId="7B6CA4F8" w14:textId="6326BE2C" w:rsidR="00250577" w:rsidRPr="00C148AB" w:rsidRDefault="00250577" w:rsidP="004C3A24">
            <w:pPr>
              <w:jc w:val="center"/>
              <w:rPr>
                <w:rFonts w:ascii="Times New Roman" w:hAnsi="Times New Roman" w:cs="Times New Roman"/>
                <w:b/>
                <w:sz w:val="20"/>
                <w:szCs w:val="20"/>
                <w:u w:val="single"/>
              </w:rPr>
            </w:pPr>
            <w:r>
              <w:rPr>
                <w:rFonts w:ascii="Times New Roman" w:hAnsi="Times New Roman" w:cs="Times New Roman"/>
                <w:b/>
                <w:sz w:val="20"/>
                <w:szCs w:val="20"/>
                <w:u w:val="single"/>
              </w:rPr>
              <w:t>Policy l</w:t>
            </w:r>
            <w:r w:rsidRPr="00C148AB">
              <w:rPr>
                <w:rFonts w:ascii="Times New Roman" w:hAnsi="Times New Roman" w:cs="Times New Roman"/>
                <w:b/>
                <w:sz w:val="20"/>
                <w:szCs w:val="20"/>
                <w:u w:val="single"/>
              </w:rPr>
              <w:t>imits for 2008,2009</w:t>
            </w:r>
            <w:r>
              <w:rPr>
                <w:rFonts w:ascii="Times New Roman" w:hAnsi="Times New Roman" w:cs="Times New Roman"/>
                <w:b/>
                <w:sz w:val="20"/>
                <w:szCs w:val="20"/>
                <w:u w:val="single"/>
              </w:rPr>
              <w:t xml:space="preserve"> &amp; </w:t>
            </w:r>
            <w:r w:rsidRPr="00C148AB">
              <w:rPr>
                <w:rFonts w:ascii="Times New Roman" w:hAnsi="Times New Roman" w:cs="Times New Roman"/>
                <w:b/>
                <w:sz w:val="20"/>
                <w:szCs w:val="20"/>
                <w:u w:val="single"/>
              </w:rPr>
              <w:t>2010, respectively</w:t>
            </w:r>
          </w:p>
        </w:tc>
      </w:tr>
      <w:tr w:rsidR="00250577" w:rsidRPr="006C54F2" w14:paraId="56F38E87" w14:textId="77777777" w:rsidTr="000F64A1">
        <w:tc>
          <w:tcPr>
            <w:tcW w:w="2430" w:type="dxa"/>
          </w:tcPr>
          <w:p w14:paraId="66840BA6" w14:textId="77777777" w:rsidR="00250577" w:rsidRPr="00C148AB" w:rsidRDefault="00250577" w:rsidP="00890C48">
            <w:pPr>
              <w:rPr>
                <w:rFonts w:ascii="Times New Roman" w:hAnsi="Times New Roman" w:cs="Times New Roman"/>
                <w:sz w:val="20"/>
                <w:szCs w:val="20"/>
              </w:rPr>
            </w:pPr>
            <w:r w:rsidRPr="00C148AB">
              <w:rPr>
                <w:rFonts w:ascii="Times New Roman" w:hAnsi="Times New Roman" w:cs="Times New Roman"/>
                <w:sz w:val="20"/>
                <w:szCs w:val="20"/>
              </w:rPr>
              <w:t>Reserve</w:t>
            </w:r>
            <w:r>
              <w:rPr>
                <w:rFonts w:ascii="Times New Roman" w:hAnsi="Times New Roman" w:cs="Times New Roman"/>
                <w:sz w:val="20"/>
                <w:szCs w:val="20"/>
              </w:rPr>
              <w:t>/PoolRe</w:t>
            </w:r>
          </w:p>
        </w:tc>
        <w:tc>
          <w:tcPr>
            <w:tcW w:w="3600" w:type="dxa"/>
          </w:tcPr>
          <w:p w14:paraId="72BFD431" w14:textId="77777777" w:rsidR="00250577" w:rsidRPr="00C148AB" w:rsidRDefault="00250577" w:rsidP="00890C48">
            <w:pPr>
              <w:rPr>
                <w:rFonts w:ascii="Times New Roman" w:hAnsi="Times New Roman" w:cs="Times New Roman"/>
                <w:sz w:val="20"/>
                <w:szCs w:val="20"/>
              </w:rPr>
            </w:pPr>
            <w:r w:rsidRPr="00C148AB">
              <w:rPr>
                <w:rFonts w:ascii="Times New Roman" w:hAnsi="Times New Roman" w:cs="Times New Roman"/>
                <w:sz w:val="20"/>
                <w:szCs w:val="20"/>
              </w:rPr>
              <w:t>Excess Directors &amp; Officers Liability</w:t>
            </w:r>
          </w:p>
        </w:tc>
        <w:tc>
          <w:tcPr>
            <w:tcW w:w="2970" w:type="dxa"/>
          </w:tcPr>
          <w:p w14:paraId="443C436D" w14:textId="77777777" w:rsidR="00250577" w:rsidRPr="00C148AB" w:rsidRDefault="00250577" w:rsidP="00890C48">
            <w:pPr>
              <w:rPr>
                <w:rFonts w:ascii="Times New Roman" w:hAnsi="Times New Roman" w:cs="Times New Roman"/>
                <w:sz w:val="20"/>
                <w:szCs w:val="20"/>
              </w:rPr>
            </w:pPr>
            <w:r w:rsidRPr="00C148AB">
              <w:rPr>
                <w:rFonts w:ascii="Times New Roman" w:hAnsi="Times New Roman" w:cs="Times New Roman"/>
                <w:sz w:val="20"/>
                <w:szCs w:val="20"/>
              </w:rPr>
              <w:t>$1 million, $1 million, $1 million</w:t>
            </w:r>
          </w:p>
        </w:tc>
      </w:tr>
      <w:tr w:rsidR="00250577" w:rsidRPr="006C54F2" w14:paraId="6A16FBFC" w14:textId="77777777" w:rsidTr="000F64A1">
        <w:tc>
          <w:tcPr>
            <w:tcW w:w="2430" w:type="dxa"/>
          </w:tcPr>
          <w:p w14:paraId="58AFBA64" w14:textId="77777777" w:rsidR="00250577" w:rsidRPr="006818D8" w:rsidRDefault="00250577" w:rsidP="00890C48">
            <w:pPr>
              <w:rPr>
                <w:rFonts w:ascii="Times New Roman" w:hAnsi="Times New Roman" w:cs="Times New Roman"/>
                <w:sz w:val="20"/>
                <w:szCs w:val="20"/>
              </w:rPr>
            </w:pPr>
            <w:r w:rsidRPr="00C148AB">
              <w:rPr>
                <w:rFonts w:ascii="Times New Roman" w:hAnsi="Times New Roman" w:cs="Times New Roman"/>
                <w:sz w:val="20"/>
                <w:szCs w:val="20"/>
              </w:rPr>
              <w:t>Reserve</w:t>
            </w:r>
            <w:r>
              <w:rPr>
                <w:rFonts w:ascii="Times New Roman" w:hAnsi="Times New Roman" w:cs="Times New Roman"/>
                <w:sz w:val="20"/>
                <w:szCs w:val="20"/>
              </w:rPr>
              <w:t>/PoolRe</w:t>
            </w:r>
          </w:p>
        </w:tc>
        <w:tc>
          <w:tcPr>
            <w:tcW w:w="3600" w:type="dxa"/>
          </w:tcPr>
          <w:p w14:paraId="688E7700" w14:textId="77777777" w:rsidR="00250577" w:rsidRPr="006818D8" w:rsidRDefault="00250577" w:rsidP="00890C48">
            <w:pPr>
              <w:rPr>
                <w:rFonts w:ascii="Times New Roman" w:hAnsi="Times New Roman" w:cs="Times New Roman"/>
                <w:sz w:val="20"/>
                <w:szCs w:val="20"/>
              </w:rPr>
            </w:pPr>
            <w:r w:rsidRPr="006818D8">
              <w:rPr>
                <w:rFonts w:ascii="Times New Roman" w:hAnsi="Times New Roman" w:cs="Times New Roman"/>
                <w:sz w:val="20"/>
                <w:szCs w:val="20"/>
              </w:rPr>
              <w:t>Special Risk – Loss of Major Customer</w:t>
            </w:r>
          </w:p>
        </w:tc>
        <w:tc>
          <w:tcPr>
            <w:tcW w:w="2970" w:type="dxa"/>
          </w:tcPr>
          <w:p w14:paraId="3C7831B0" w14:textId="77777777" w:rsidR="00250577" w:rsidRPr="006818D8" w:rsidRDefault="00250577" w:rsidP="00890C48">
            <w:pPr>
              <w:rPr>
                <w:rFonts w:ascii="Times New Roman" w:hAnsi="Times New Roman" w:cs="Times New Roman"/>
                <w:sz w:val="20"/>
                <w:szCs w:val="20"/>
              </w:rPr>
            </w:pPr>
            <w:r w:rsidRPr="006818D8">
              <w:rPr>
                <w:rFonts w:ascii="Times New Roman" w:hAnsi="Times New Roman" w:cs="Times New Roman"/>
                <w:sz w:val="20"/>
                <w:szCs w:val="20"/>
              </w:rPr>
              <w:t>$1 million, $500,000, $500,000</w:t>
            </w:r>
          </w:p>
        </w:tc>
      </w:tr>
      <w:tr w:rsidR="00250577" w:rsidRPr="006C54F2" w14:paraId="2AC1C307" w14:textId="77777777" w:rsidTr="000F64A1">
        <w:trPr>
          <w:trHeight w:val="575"/>
        </w:trPr>
        <w:tc>
          <w:tcPr>
            <w:tcW w:w="2430" w:type="dxa"/>
          </w:tcPr>
          <w:p w14:paraId="0ECDE497" w14:textId="77777777" w:rsidR="00250577" w:rsidRPr="006818D8" w:rsidRDefault="00250577" w:rsidP="00890C48">
            <w:pPr>
              <w:rPr>
                <w:rFonts w:ascii="Times New Roman" w:hAnsi="Times New Roman" w:cs="Times New Roman"/>
                <w:sz w:val="20"/>
                <w:szCs w:val="20"/>
              </w:rPr>
            </w:pPr>
            <w:r w:rsidRPr="00C148AB">
              <w:rPr>
                <w:rFonts w:ascii="Times New Roman" w:hAnsi="Times New Roman" w:cs="Times New Roman"/>
                <w:sz w:val="20"/>
                <w:szCs w:val="20"/>
              </w:rPr>
              <w:t>Reserve</w:t>
            </w:r>
            <w:r>
              <w:rPr>
                <w:rFonts w:ascii="Times New Roman" w:hAnsi="Times New Roman" w:cs="Times New Roman"/>
                <w:sz w:val="20"/>
                <w:szCs w:val="20"/>
              </w:rPr>
              <w:t>/PoolRe</w:t>
            </w:r>
          </w:p>
        </w:tc>
        <w:tc>
          <w:tcPr>
            <w:tcW w:w="3600" w:type="dxa"/>
          </w:tcPr>
          <w:p w14:paraId="0BC739DE" w14:textId="77777777" w:rsidR="00250577" w:rsidRPr="006818D8" w:rsidRDefault="00250577" w:rsidP="00890C48">
            <w:pPr>
              <w:rPr>
                <w:rFonts w:ascii="Times New Roman" w:hAnsi="Times New Roman" w:cs="Times New Roman"/>
                <w:sz w:val="20"/>
                <w:szCs w:val="20"/>
              </w:rPr>
            </w:pPr>
            <w:r w:rsidRPr="006818D8">
              <w:rPr>
                <w:rFonts w:ascii="Times New Roman" w:hAnsi="Times New Roman" w:cs="Times New Roman"/>
                <w:sz w:val="20"/>
                <w:szCs w:val="20"/>
              </w:rPr>
              <w:t>Special Risk – Expense Reimbursemen</w:t>
            </w:r>
            <w:r>
              <w:rPr>
                <w:rFonts w:ascii="Times New Roman" w:hAnsi="Times New Roman" w:cs="Times New Roman"/>
                <w:sz w:val="20"/>
                <w:szCs w:val="20"/>
              </w:rPr>
              <w:t>t</w:t>
            </w:r>
          </w:p>
        </w:tc>
        <w:tc>
          <w:tcPr>
            <w:tcW w:w="2970" w:type="dxa"/>
          </w:tcPr>
          <w:p w14:paraId="7503B849" w14:textId="77777777" w:rsidR="00250577" w:rsidRPr="006818D8" w:rsidRDefault="00250577" w:rsidP="00890C48">
            <w:pPr>
              <w:rPr>
                <w:rFonts w:ascii="Times New Roman" w:hAnsi="Times New Roman" w:cs="Times New Roman"/>
                <w:sz w:val="20"/>
                <w:szCs w:val="20"/>
              </w:rPr>
            </w:pPr>
            <w:r w:rsidRPr="006818D8">
              <w:rPr>
                <w:rFonts w:ascii="Times New Roman" w:hAnsi="Times New Roman" w:cs="Times New Roman"/>
                <w:sz w:val="20"/>
                <w:szCs w:val="20"/>
              </w:rPr>
              <w:t>$1 million, $1 million, $1 million</w:t>
            </w:r>
          </w:p>
        </w:tc>
      </w:tr>
      <w:tr w:rsidR="00250577" w:rsidRPr="006C54F2" w14:paraId="5777FCE4" w14:textId="77777777" w:rsidTr="000F64A1">
        <w:tc>
          <w:tcPr>
            <w:tcW w:w="2430" w:type="dxa"/>
          </w:tcPr>
          <w:p w14:paraId="6663BCC8" w14:textId="77777777" w:rsidR="00250577" w:rsidRPr="006818D8" w:rsidRDefault="00250577" w:rsidP="006818D8">
            <w:pPr>
              <w:rPr>
                <w:rFonts w:ascii="Times New Roman" w:hAnsi="Times New Roman" w:cs="Times New Roman"/>
                <w:sz w:val="20"/>
                <w:szCs w:val="20"/>
              </w:rPr>
            </w:pPr>
            <w:r w:rsidRPr="00C148AB">
              <w:rPr>
                <w:rFonts w:ascii="Times New Roman" w:hAnsi="Times New Roman" w:cs="Times New Roman"/>
                <w:sz w:val="20"/>
                <w:szCs w:val="20"/>
              </w:rPr>
              <w:t>Reserve</w:t>
            </w:r>
            <w:r>
              <w:rPr>
                <w:rFonts w:ascii="Times New Roman" w:hAnsi="Times New Roman" w:cs="Times New Roman"/>
                <w:sz w:val="20"/>
                <w:szCs w:val="20"/>
              </w:rPr>
              <w:t>/PoolRe</w:t>
            </w:r>
          </w:p>
        </w:tc>
        <w:tc>
          <w:tcPr>
            <w:tcW w:w="3600" w:type="dxa"/>
          </w:tcPr>
          <w:p w14:paraId="1B4E2B50" w14:textId="77777777" w:rsidR="00250577" w:rsidRPr="006818D8" w:rsidRDefault="00250577" w:rsidP="006818D8">
            <w:pPr>
              <w:rPr>
                <w:rFonts w:ascii="Times New Roman" w:hAnsi="Times New Roman" w:cs="Times New Roman"/>
                <w:sz w:val="20"/>
                <w:szCs w:val="20"/>
              </w:rPr>
            </w:pPr>
            <w:r w:rsidRPr="006818D8">
              <w:rPr>
                <w:rFonts w:ascii="Times New Roman" w:hAnsi="Times New Roman" w:cs="Times New Roman"/>
                <w:sz w:val="20"/>
                <w:szCs w:val="20"/>
              </w:rPr>
              <w:t>Special Risk – Loss of Services</w:t>
            </w:r>
          </w:p>
        </w:tc>
        <w:tc>
          <w:tcPr>
            <w:tcW w:w="2970" w:type="dxa"/>
          </w:tcPr>
          <w:p w14:paraId="20E049B2" w14:textId="77777777" w:rsidR="00250577" w:rsidRPr="006818D8" w:rsidRDefault="00250577" w:rsidP="006818D8">
            <w:pPr>
              <w:rPr>
                <w:rFonts w:ascii="Times New Roman" w:hAnsi="Times New Roman" w:cs="Times New Roman"/>
                <w:sz w:val="20"/>
                <w:szCs w:val="20"/>
              </w:rPr>
            </w:pPr>
          </w:p>
        </w:tc>
      </w:tr>
      <w:tr w:rsidR="00250577" w:rsidRPr="006C54F2" w14:paraId="12128D10" w14:textId="77777777" w:rsidTr="000F64A1">
        <w:tc>
          <w:tcPr>
            <w:tcW w:w="2430" w:type="dxa"/>
          </w:tcPr>
          <w:p w14:paraId="312D9EC1" w14:textId="77777777" w:rsidR="00250577" w:rsidRPr="006818D8" w:rsidRDefault="00250577" w:rsidP="00890C48">
            <w:pPr>
              <w:rPr>
                <w:rFonts w:ascii="Times New Roman" w:hAnsi="Times New Roman" w:cs="Times New Roman"/>
                <w:sz w:val="20"/>
                <w:szCs w:val="20"/>
              </w:rPr>
            </w:pPr>
            <w:r w:rsidRPr="00C148AB">
              <w:rPr>
                <w:rFonts w:ascii="Times New Roman" w:hAnsi="Times New Roman" w:cs="Times New Roman"/>
                <w:sz w:val="20"/>
                <w:szCs w:val="20"/>
              </w:rPr>
              <w:t>Reserve</w:t>
            </w:r>
            <w:r>
              <w:rPr>
                <w:rFonts w:ascii="Times New Roman" w:hAnsi="Times New Roman" w:cs="Times New Roman"/>
                <w:sz w:val="20"/>
                <w:szCs w:val="20"/>
              </w:rPr>
              <w:t>/PoolRe</w:t>
            </w:r>
          </w:p>
        </w:tc>
        <w:tc>
          <w:tcPr>
            <w:tcW w:w="3600" w:type="dxa"/>
          </w:tcPr>
          <w:p w14:paraId="3E30297B" w14:textId="77777777" w:rsidR="00250577" w:rsidRPr="006818D8" w:rsidRDefault="00250577" w:rsidP="00890C48">
            <w:pPr>
              <w:rPr>
                <w:rFonts w:ascii="Times New Roman" w:hAnsi="Times New Roman" w:cs="Times New Roman"/>
                <w:sz w:val="20"/>
                <w:szCs w:val="20"/>
              </w:rPr>
            </w:pPr>
            <w:r w:rsidRPr="006818D8">
              <w:rPr>
                <w:rFonts w:ascii="Times New Roman" w:hAnsi="Times New Roman" w:cs="Times New Roman"/>
                <w:sz w:val="20"/>
                <w:szCs w:val="20"/>
              </w:rPr>
              <w:t>Special Risk – Weather Related Business Interruption (2008 only)</w:t>
            </w:r>
          </w:p>
        </w:tc>
        <w:tc>
          <w:tcPr>
            <w:tcW w:w="2970" w:type="dxa"/>
          </w:tcPr>
          <w:p w14:paraId="58B42594" w14:textId="77777777" w:rsidR="00250577" w:rsidRPr="006818D8" w:rsidRDefault="00250577" w:rsidP="00890C48">
            <w:pPr>
              <w:rPr>
                <w:rFonts w:ascii="Times New Roman" w:hAnsi="Times New Roman" w:cs="Times New Roman"/>
                <w:sz w:val="20"/>
                <w:szCs w:val="20"/>
              </w:rPr>
            </w:pPr>
            <w:r w:rsidRPr="006818D8">
              <w:rPr>
                <w:rFonts w:ascii="Times New Roman" w:hAnsi="Times New Roman" w:cs="Times New Roman"/>
                <w:sz w:val="20"/>
                <w:szCs w:val="20"/>
              </w:rPr>
              <w:t>$1 million, N/A, N/A</w:t>
            </w:r>
          </w:p>
        </w:tc>
      </w:tr>
      <w:tr w:rsidR="00250577" w:rsidRPr="006C54F2" w14:paraId="4A5A8DB8" w14:textId="77777777" w:rsidTr="000F64A1">
        <w:tc>
          <w:tcPr>
            <w:tcW w:w="2430" w:type="dxa"/>
          </w:tcPr>
          <w:p w14:paraId="6CBA60AC" w14:textId="77777777" w:rsidR="00250577" w:rsidRPr="006818D8" w:rsidRDefault="00250577" w:rsidP="00246CE3">
            <w:pPr>
              <w:rPr>
                <w:rFonts w:ascii="Times New Roman" w:hAnsi="Times New Roman" w:cs="Times New Roman"/>
                <w:sz w:val="20"/>
                <w:szCs w:val="20"/>
              </w:rPr>
            </w:pPr>
            <w:r w:rsidRPr="00C148AB">
              <w:rPr>
                <w:rFonts w:ascii="Times New Roman" w:hAnsi="Times New Roman" w:cs="Times New Roman"/>
                <w:sz w:val="20"/>
                <w:szCs w:val="20"/>
              </w:rPr>
              <w:t>Reserve</w:t>
            </w:r>
            <w:r>
              <w:rPr>
                <w:rFonts w:ascii="Times New Roman" w:hAnsi="Times New Roman" w:cs="Times New Roman"/>
                <w:sz w:val="20"/>
                <w:szCs w:val="20"/>
              </w:rPr>
              <w:t>/PoolRe</w:t>
            </w:r>
          </w:p>
        </w:tc>
        <w:tc>
          <w:tcPr>
            <w:tcW w:w="3600" w:type="dxa"/>
          </w:tcPr>
          <w:p w14:paraId="451B99B9" w14:textId="77777777" w:rsidR="00250577" w:rsidRPr="006818D8" w:rsidRDefault="00250577" w:rsidP="00246CE3">
            <w:pPr>
              <w:rPr>
                <w:rFonts w:ascii="Times New Roman" w:hAnsi="Times New Roman" w:cs="Times New Roman"/>
                <w:sz w:val="20"/>
                <w:szCs w:val="20"/>
              </w:rPr>
            </w:pPr>
            <w:r w:rsidRPr="006818D8">
              <w:rPr>
                <w:rFonts w:ascii="Times New Roman" w:hAnsi="Times New Roman" w:cs="Times New Roman"/>
                <w:sz w:val="20"/>
                <w:szCs w:val="20"/>
              </w:rPr>
              <w:t>Excess Pollution Liability</w:t>
            </w:r>
          </w:p>
        </w:tc>
        <w:tc>
          <w:tcPr>
            <w:tcW w:w="2970" w:type="dxa"/>
          </w:tcPr>
          <w:p w14:paraId="4EE53622" w14:textId="77777777" w:rsidR="00250577" w:rsidRPr="006818D8" w:rsidRDefault="00250577" w:rsidP="00246CE3">
            <w:pPr>
              <w:rPr>
                <w:rFonts w:ascii="Times New Roman" w:hAnsi="Times New Roman" w:cs="Times New Roman"/>
                <w:sz w:val="20"/>
                <w:szCs w:val="20"/>
              </w:rPr>
            </w:pPr>
            <w:r w:rsidRPr="006818D8">
              <w:rPr>
                <w:rFonts w:ascii="Times New Roman" w:hAnsi="Times New Roman" w:cs="Times New Roman"/>
                <w:sz w:val="20"/>
                <w:szCs w:val="20"/>
              </w:rPr>
              <w:t>$1 million, $500,000, $500,000</w:t>
            </w:r>
          </w:p>
        </w:tc>
      </w:tr>
      <w:tr w:rsidR="00250577" w:rsidRPr="006C54F2" w14:paraId="202BFA87" w14:textId="77777777" w:rsidTr="000F64A1">
        <w:tc>
          <w:tcPr>
            <w:tcW w:w="2430" w:type="dxa"/>
          </w:tcPr>
          <w:p w14:paraId="0EFB9DBE" w14:textId="77777777" w:rsidR="00250577" w:rsidRPr="006818D8" w:rsidRDefault="00250577" w:rsidP="00246CE3">
            <w:pPr>
              <w:rPr>
                <w:rFonts w:ascii="Times New Roman" w:hAnsi="Times New Roman" w:cs="Times New Roman"/>
                <w:sz w:val="20"/>
                <w:szCs w:val="20"/>
              </w:rPr>
            </w:pPr>
            <w:r w:rsidRPr="00C148AB">
              <w:rPr>
                <w:rFonts w:ascii="Times New Roman" w:hAnsi="Times New Roman" w:cs="Times New Roman"/>
                <w:sz w:val="20"/>
                <w:szCs w:val="20"/>
              </w:rPr>
              <w:t>Reserve</w:t>
            </w:r>
            <w:r>
              <w:rPr>
                <w:rFonts w:ascii="Times New Roman" w:hAnsi="Times New Roman" w:cs="Times New Roman"/>
                <w:sz w:val="20"/>
                <w:szCs w:val="20"/>
              </w:rPr>
              <w:t>/PoolRe</w:t>
            </w:r>
          </w:p>
        </w:tc>
        <w:tc>
          <w:tcPr>
            <w:tcW w:w="3600" w:type="dxa"/>
          </w:tcPr>
          <w:p w14:paraId="65DF49F4" w14:textId="77777777" w:rsidR="00250577" w:rsidRPr="006818D8" w:rsidRDefault="00250577" w:rsidP="00246CE3">
            <w:pPr>
              <w:rPr>
                <w:rFonts w:ascii="Times New Roman" w:hAnsi="Times New Roman" w:cs="Times New Roman"/>
                <w:sz w:val="20"/>
                <w:szCs w:val="20"/>
              </w:rPr>
            </w:pPr>
            <w:r w:rsidRPr="006818D8">
              <w:rPr>
                <w:rFonts w:ascii="Times New Roman" w:hAnsi="Times New Roman" w:cs="Times New Roman"/>
                <w:sz w:val="20"/>
                <w:szCs w:val="20"/>
              </w:rPr>
              <w:t>Special Risk – Tax Liability</w:t>
            </w:r>
          </w:p>
        </w:tc>
        <w:tc>
          <w:tcPr>
            <w:tcW w:w="2970" w:type="dxa"/>
          </w:tcPr>
          <w:p w14:paraId="4224FDDE" w14:textId="77777777" w:rsidR="00250577" w:rsidRPr="006818D8" w:rsidRDefault="00250577" w:rsidP="00246CE3">
            <w:pPr>
              <w:rPr>
                <w:rFonts w:ascii="Times New Roman" w:hAnsi="Times New Roman" w:cs="Times New Roman"/>
                <w:sz w:val="20"/>
                <w:szCs w:val="20"/>
              </w:rPr>
            </w:pPr>
            <w:r w:rsidRPr="006818D8">
              <w:rPr>
                <w:rFonts w:ascii="Times New Roman" w:hAnsi="Times New Roman" w:cs="Times New Roman"/>
                <w:sz w:val="20"/>
                <w:szCs w:val="20"/>
              </w:rPr>
              <w:t>$1 million, $500,000, $500,000</w:t>
            </w:r>
          </w:p>
        </w:tc>
      </w:tr>
      <w:tr w:rsidR="00250577" w:rsidRPr="006C54F2" w14:paraId="06B82BEB" w14:textId="77777777" w:rsidTr="000F64A1">
        <w:tc>
          <w:tcPr>
            <w:tcW w:w="2430" w:type="dxa"/>
          </w:tcPr>
          <w:p w14:paraId="5236CE74" w14:textId="77777777" w:rsidR="00250577" w:rsidRPr="006818D8" w:rsidRDefault="00250577" w:rsidP="00246CE3">
            <w:pPr>
              <w:rPr>
                <w:rFonts w:ascii="Times New Roman" w:hAnsi="Times New Roman" w:cs="Times New Roman"/>
                <w:sz w:val="20"/>
                <w:szCs w:val="20"/>
              </w:rPr>
            </w:pPr>
            <w:r w:rsidRPr="00C148AB">
              <w:rPr>
                <w:rFonts w:ascii="Times New Roman" w:hAnsi="Times New Roman" w:cs="Times New Roman"/>
                <w:sz w:val="20"/>
                <w:szCs w:val="20"/>
              </w:rPr>
              <w:t>Reserve</w:t>
            </w:r>
            <w:r>
              <w:rPr>
                <w:rFonts w:ascii="Times New Roman" w:hAnsi="Times New Roman" w:cs="Times New Roman"/>
                <w:sz w:val="20"/>
                <w:szCs w:val="20"/>
              </w:rPr>
              <w:t>/PoolRe</w:t>
            </w:r>
          </w:p>
        </w:tc>
        <w:tc>
          <w:tcPr>
            <w:tcW w:w="3600" w:type="dxa"/>
          </w:tcPr>
          <w:p w14:paraId="1B9B27F0" w14:textId="77777777" w:rsidR="00250577" w:rsidRPr="006818D8" w:rsidRDefault="00250577" w:rsidP="00246CE3">
            <w:pPr>
              <w:rPr>
                <w:rFonts w:ascii="Times New Roman" w:hAnsi="Times New Roman" w:cs="Times New Roman"/>
                <w:sz w:val="20"/>
                <w:szCs w:val="20"/>
              </w:rPr>
            </w:pPr>
            <w:r w:rsidRPr="006818D8">
              <w:rPr>
                <w:rFonts w:ascii="Times New Roman" w:hAnsi="Times New Roman" w:cs="Times New Roman"/>
                <w:sz w:val="20"/>
                <w:szCs w:val="20"/>
              </w:rPr>
              <w:t>Excess Intellectual Property Package</w:t>
            </w:r>
          </w:p>
        </w:tc>
        <w:tc>
          <w:tcPr>
            <w:tcW w:w="2970" w:type="dxa"/>
          </w:tcPr>
          <w:p w14:paraId="2A57D5F7" w14:textId="77777777" w:rsidR="00250577" w:rsidRPr="006818D8" w:rsidRDefault="00250577" w:rsidP="00246CE3">
            <w:pPr>
              <w:rPr>
                <w:rFonts w:ascii="Times New Roman" w:hAnsi="Times New Roman" w:cs="Times New Roman"/>
                <w:sz w:val="20"/>
                <w:szCs w:val="20"/>
              </w:rPr>
            </w:pPr>
            <w:r w:rsidRPr="006818D8">
              <w:rPr>
                <w:rFonts w:ascii="Times New Roman" w:hAnsi="Times New Roman" w:cs="Times New Roman"/>
                <w:sz w:val="20"/>
                <w:szCs w:val="20"/>
              </w:rPr>
              <w:t xml:space="preserve">$1 million, $1 million, $1 million </w:t>
            </w:r>
          </w:p>
        </w:tc>
      </w:tr>
      <w:tr w:rsidR="00250577" w:rsidRPr="006C54F2" w14:paraId="16BAA704" w14:textId="77777777" w:rsidTr="000F64A1">
        <w:tc>
          <w:tcPr>
            <w:tcW w:w="2430" w:type="dxa"/>
          </w:tcPr>
          <w:p w14:paraId="627978E9" w14:textId="77777777" w:rsidR="00250577" w:rsidRPr="006818D8" w:rsidRDefault="00250577" w:rsidP="00246CE3">
            <w:pPr>
              <w:rPr>
                <w:rFonts w:ascii="Times New Roman" w:hAnsi="Times New Roman" w:cs="Times New Roman"/>
                <w:sz w:val="20"/>
                <w:szCs w:val="20"/>
              </w:rPr>
            </w:pPr>
            <w:r w:rsidRPr="00C148AB">
              <w:rPr>
                <w:rFonts w:ascii="Times New Roman" w:hAnsi="Times New Roman" w:cs="Times New Roman"/>
                <w:sz w:val="20"/>
                <w:szCs w:val="20"/>
              </w:rPr>
              <w:t>Reserve</w:t>
            </w:r>
            <w:r>
              <w:rPr>
                <w:rFonts w:ascii="Times New Roman" w:hAnsi="Times New Roman" w:cs="Times New Roman"/>
                <w:sz w:val="20"/>
                <w:szCs w:val="20"/>
              </w:rPr>
              <w:t>/PoolRe</w:t>
            </w:r>
          </w:p>
        </w:tc>
        <w:tc>
          <w:tcPr>
            <w:tcW w:w="3600" w:type="dxa"/>
          </w:tcPr>
          <w:p w14:paraId="692078BB" w14:textId="77777777" w:rsidR="00250577" w:rsidRPr="006818D8" w:rsidRDefault="00250577" w:rsidP="00246CE3">
            <w:pPr>
              <w:rPr>
                <w:rFonts w:ascii="Times New Roman" w:hAnsi="Times New Roman" w:cs="Times New Roman"/>
                <w:sz w:val="20"/>
                <w:szCs w:val="20"/>
              </w:rPr>
            </w:pPr>
            <w:r w:rsidRPr="006818D8">
              <w:rPr>
                <w:rFonts w:ascii="Times New Roman" w:hAnsi="Times New Roman" w:cs="Times New Roman"/>
                <w:sz w:val="20"/>
                <w:szCs w:val="20"/>
              </w:rPr>
              <w:t>Special Risk – Regulatory Changes</w:t>
            </w:r>
          </w:p>
        </w:tc>
        <w:tc>
          <w:tcPr>
            <w:tcW w:w="2970" w:type="dxa"/>
          </w:tcPr>
          <w:p w14:paraId="1DC481F7" w14:textId="77777777" w:rsidR="00250577" w:rsidRPr="006818D8" w:rsidRDefault="00250577" w:rsidP="00246CE3">
            <w:pPr>
              <w:rPr>
                <w:rFonts w:ascii="Times New Roman" w:hAnsi="Times New Roman" w:cs="Times New Roman"/>
                <w:sz w:val="20"/>
                <w:szCs w:val="20"/>
              </w:rPr>
            </w:pPr>
            <w:r w:rsidRPr="006818D8">
              <w:rPr>
                <w:rFonts w:ascii="Times New Roman" w:hAnsi="Times New Roman" w:cs="Times New Roman"/>
                <w:sz w:val="20"/>
                <w:szCs w:val="20"/>
              </w:rPr>
              <w:t>$1 million, $500,000, $500,000</w:t>
            </w:r>
          </w:p>
        </w:tc>
      </w:tr>
      <w:tr w:rsidR="00250577" w:rsidRPr="006C54F2" w14:paraId="591BCA96" w14:textId="77777777" w:rsidTr="000F64A1">
        <w:tc>
          <w:tcPr>
            <w:tcW w:w="2430" w:type="dxa"/>
          </w:tcPr>
          <w:p w14:paraId="11A60678" w14:textId="77777777" w:rsidR="00250577" w:rsidRPr="006818D8" w:rsidRDefault="00250577" w:rsidP="00246CE3">
            <w:pPr>
              <w:rPr>
                <w:rFonts w:ascii="Times New Roman" w:hAnsi="Times New Roman" w:cs="Times New Roman"/>
                <w:sz w:val="20"/>
                <w:szCs w:val="20"/>
              </w:rPr>
            </w:pPr>
            <w:r w:rsidRPr="00C148AB">
              <w:rPr>
                <w:rFonts w:ascii="Times New Roman" w:hAnsi="Times New Roman" w:cs="Times New Roman"/>
                <w:sz w:val="20"/>
                <w:szCs w:val="20"/>
              </w:rPr>
              <w:t>Reserve</w:t>
            </w:r>
            <w:r>
              <w:rPr>
                <w:rFonts w:ascii="Times New Roman" w:hAnsi="Times New Roman" w:cs="Times New Roman"/>
                <w:sz w:val="20"/>
                <w:szCs w:val="20"/>
              </w:rPr>
              <w:t>/PoolRe</w:t>
            </w:r>
          </w:p>
        </w:tc>
        <w:tc>
          <w:tcPr>
            <w:tcW w:w="3600" w:type="dxa"/>
          </w:tcPr>
          <w:p w14:paraId="2952DE0C" w14:textId="77777777" w:rsidR="00250577" w:rsidRPr="006818D8" w:rsidRDefault="00250577" w:rsidP="00246CE3">
            <w:pPr>
              <w:rPr>
                <w:rFonts w:ascii="Times New Roman" w:hAnsi="Times New Roman" w:cs="Times New Roman"/>
                <w:sz w:val="20"/>
                <w:szCs w:val="20"/>
              </w:rPr>
            </w:pPr>
            <w:r w:rsidRPr="006818D8">
              <w:rPr>
                <w:rFonts w:ascii="Times New Roman" w:hAnsi="Times New Roman" w:cs="Times New Roman"/>
                <w:sz w:val="20"/>
                <w:szCs w:val="20"/>
              </w:rPr>
              <w:t>Special Risk – Punitive Wrap</w:t>
            </w:r>
          </w:p>
        </w:tc>
        <w:tc>
          <w:tcPr>
            <w:tcW w:w="2970" w:type="dxa"/>
          </w:tcPr>
          <w:p w14:paraId="6B1D2B87" w14:textId="77777777" w:rsidR="00250577" w:rsidRPr="006818D8" w:rsidRDefault="00250577" w:rsidP="00246CE3">
            <w:pPr>
              <w:rPr>
                <w:rFonts w:ascii="Times New Roman" w:hAnsi="Times New Roman" w:cs="Times New Roman"/>
                <w:sz w:val="20"/>
                <w:szCs w:val="20"/>
              </w:rPr>
            </w:pPr>
            <w:r w:rsidRPr="006818D8">
              <w:rPr>
                <w:rFonts w:ascii="Times New Roman" w:hAnsi="Times New Roman" w:cs="Times New Roman"/>
                <w:sz w:val="20"/>
                <w:szCs w:val="20"/>
              </w:rPr>
              <w:t>$1 million, $500,000, $500,000</w:t>
            </w:r>
          </w:p>
        </w:tc>
      </w:tr>
      <w:tr w:rsidR="00250577" w:rsidRPr="006C54F2" w14:paraId="0189A16C" w14:textId="77777777" w:rsidTr="000F64A1">
        <w:tc>
          <w:tcPr>
            <w:tcW w:w="2430" w:type="dxa"/>
          </w:tcPr>
          <w:p w14:paraId="1A37AFBD" w14:textId="77777777" w:rsidR="00250577" w:rsidRPr="006818D8" w:rsidRDefault="00250577" w:rsidP="00246CE3">
            <w:pPr>
              <w:rPr>
                <w:rFonts w:ascii="Times New Roman" w:hAnsi="Times New Roman" w:cs="Times New Roman"/>
                <w:sz w:val="20"/>
                <w:szCs w:val="20"/>
              </w:rPr>
            </w:pPr>
            <w:r w:rsidRPr="00C148AB">
              <w:rPr>
                <w:rFonts w:ascii="Times New Roman" w:hAnsi="Times New Roman" w:cs="Times New Roman"/>
                <w:sz w:val="20"/>
                <w:szCs w:val="20"/>
              </w:rPr>
              <w:t>Reserve</w:t>
            </w:r>
            <w:r>
              <w:rPr>
                <w:rFonts w:ascii="Times New Roman" w:hAnsi="Times New Roman" w:cs="Times New Roman"/>
                <w:sz w:val="20"/>
                <w:szCs w:val="20"/>
              </w:rPr>
              <w:t>/PoolRe</w:t>
            </w:r>
          </w:p>
        </w:tc>
        <w:tc>
          <w:tcPr>
            <w:tcW w:w="3600" w:type="dxa"/>
          </w:tcPr>
          <w:p w14:paraId="655DB7EE" w14:textId="77777777" w:rsidR="00250577" w:rsidRPr="006818D8" w:rsidRDefault="00250577" w:rsidP="00246CE3">
            <w:pPr>
              <w:rPr>
                <w:rFonts w:ascii="Times New Roman" w:hAnsi="Times New Roman" w:cs="Times New Roman"/>
                <w:sz w:val="20"/>
                <w:szCs w:val="20"/>
              </w:rPr>
            </w:pPr>
            <w:r w:rsidRPr="006818D8">
              <w:rPr>
                <w:rFonts w:ascii="Times New Roman" w:hAnsi="Times New Roman" w:cs="Times New Roman"/>
                <w:sz w:val="20"/>
                <w:szCs w:val="20"/>
              </w:rPr>
              <w:t>Excess Employment Practices Liability (2008 only)</w:t>
            </w:r>
          </w:p>
        </w:tc>
        <w:tc>
          <w:tcPr>
            <w:tcW w:w="2970" w:type="dxa"/>
          </w:tcPr>
          <w:p w14:paraId="5766103C" w14:textId="77777777" w:rsidR="00250577" w:rsidRPr="006818D8" w:rsidRDefault="00250577" w:rsidP="00246CE3">
            <w:pPr>
              <w:rPr>
                <w:rFonts w:ascii="Times New Roman" w:hAnsi="Times New Roman" w:cs="Times New Roman"/>
                <w:sz w:val="20"/>
                <w:szCs w:val="20"/>
              </w:rPr>
            </w:pPr>
            <w:r w:rsidRPr="006818D8">
              <w:rPr>
                <w:rFonts w:ascii="Times New Roman" w:hAnsi="Times New Roman" w:cs="Times New Roman"/>
                <w:sz w:val="20"/>
                <w:szCs w:val="20"/>
              </w:rPr>
              <w:t>$1 million, N/A, N/A</w:t>
            </w:r>
          </w:p>
        </w:tc>
      </w:tr>
      <w:tr w:rsidR="00250577" w:rsidRPr="006C54F2" w14:paraId="2D9C284C" w14:textId="77777777" w:rsidTr="000F64A1">
        <w:tc>
          <w:tcPr>
            <w:tcW w:w="2430" w:type="dxa"/>
          </w:tcPr>
          <w:p w14:paraId="180254A0" w14:textId="77777777" w:rsidR="00250577" w:rsidRPr="006818D8" w:rsidRDefault="00250577" w:rsidP="00246CE3">
            <w:pPr>
              <w:rPr>
                <w:rFonts w:ascii="Times New Roman" w:hAnsi="Times New Roman" w:cs="Times New Roman"/>
                <w:sz w:val="20"/>
                <w:szCs w:val="20"/>
              </w:rPr>
            </w:pPr>
            <w:r w:rsidRPr="00C148AB">
              <w:rPr>
                <w:rFonts w:ascii="Times New Roman" w:hAnsi="Times New Roman" w:cs="Times New Roman"/>
                <w:sz w:val="20"/>
                <w:szCs w:val="20"/>
              </w:rPr>
              <w:t>Reserve</w:t>
            </w:r>
            <w:r>
              <w:rPr>
                <w:rFonts w:ascii="Times New Roman" w:hAnsi="Times New Roman" w:cs="Times New Roman"/>
                <w:sz w:val="20"/>
                <w:szCs w:val="20"/>
              </w:rPr>
              <w:t>/PoolRe</w:t>
            </w:r>
          </w:p>
        </w:tc>
        <w:tc>
          <w:tcPr>
            <w:tcW w:w="3600" w:type="dxa"/>
          </w:tcPr>
          <w:p w14:paraId="2C752DEF" w14:textId="77777777" w:rsidR="00250577" w:rsidRPr="006818D8" w:rsidRDefault="00250577" w:rsidP="00246CE3">
            <w:pPr>
              <w:rPr>
                <w:rFonts w:ascii="Times New Roman" w:hAnsi="Times New Roman" w:cs="Times New Roman"/>
                <w:sz w:val="20"/>
                <w:szCs w:val="20"/>
              </w:rPr>
            </w:pPr>
            <w:r w:rsidRPr="006818D8">
              <w:rPr>
                <w:rFonts w:ascii="Times New Roman" w:hAnsi="Times New Roman" w:cs="Times New Roman"/>
                <w:sz w:val="20"/>
                <w:szCs w:val="20"/>
              </w:rPr>
              <w:t>Excess Cyber Risk (2008 only)</w:t>
            </w:r>
          </w:p>
        </w:tc>
        <w:tc>
          <w:tcPr>
            <w:tcW w:w="2970" w:type="dxa"/>
          </w:tcPr>
          <w:p w14:paraId="266FE475" w14:textId="77777777" w:rsidR="00250577" w:rsidRPr="006818D8" w:rsidRDefault="00250577" w:rsidP="00246CE3">
            <w:pPr>
              <w:rPr>
                <w:rFonts w:ascii="Times New Roman" w:hAnsi="Times New Roman" w:cs="Times New Roman"/>
                <w:sz w:val="20"/>
                <w:szCs w:val="20"/>
              </w:rPr>
            </w:pPr>
            <w:r w:rsidRPr="006818D8">
              <w:rPr>
                <w:rFonts w:ascii="Times New Roman" w:hAnsi="Times New Roman" w:cs="Times New Roman"/>
                <w:sz w:val="20"/>
                <w:szCs w:val="20"/>
              </w:rPr>
              <w:t>$1 million, N/A, N/A</w:t>
            </w:r>
          </w:p>
        </w:tc>
      </w:tr>
      <w:tr w:rsidR="00250577" w:rsidRPr="006C54F2" w14:paraId="12EAE713" w14:textId="77777777" w:rsidTr="000F64A1">
        <w:tc>
          <w:tcPr>
            <w:tcW w:w="2430" w:type="dxa"/>
          </w:tcPr>
          <w:p w14:paraId="5AC2A7E3" w14:textId="77777777" w:rsidR="00250577" w:rsidRPr="006818D8" w:rsidRDefault="00250577" w:rsidP="00246CE3">
            <w:pPr>
              <w:rPr>
                <w:rFonts w:ascii="Times New Roman" w:hAnsi="Times New Roman" w:cs="Times New Roman"/>
                <w:sz w:val="20"/>
                <w:szCs w:val="20"/>
              </w:rPr>
            </w:pPr>
            <w:r w:rsidRPr="00C148AB">
              <w:rPr>
                <w:rFonts w:ascii="Times New Roman" w:hAnsi="Times New Roman" w:cs="Times New Roman"/>
                <w:sz w:val="20"/>
                <w:szCs w:val="20"/>
              </w:rPr>
              <w:t>Reserve</w:t>
            </w:r>
            <w:r>
              <w:rPr>
                <w:rFonts w:ascii="Times New Roman" w:hAnsi="Times New Roman" w:cs="Times New Roman"/>
                <w:sz w:val="20"/>
                <w:szCs w:val="20"/>
              </w:rPr>
              <w:t>/PoolRe</w:t>
            </w:r>
          </w:p>
        </w:tc>
        <w:tc>
          <w:tcPr>
            <w:tcW w:w="3600" w:type="dxa"/>
          </w:tcPr>
          <w:p w14:paraId="78AFA177" w14:textId="77777777" w:rsidR="00250577" w:rsidRPr="006818D8" w:rsidRDefault="00250577" w:rsidP="00246CE3">
            <w:pPr>
              <w:rPr>
                <w:rFonts w:ascii="Times New Roman" w:hAnsi="Times New Roman" w:cs="Times New Roman"/>
                <w:sz w:val="20"/>
                <w:szCs w:val="20"/>
              </w:rPr>
            </w:pPr>
            <w:r w:rsidRPr="006818D8">
              <w:rPr>
                <w:rFonts w:ascii="Times New Roman" w:hAnsi="Times New Roman" w:cs="Times New Roman"/>
                <w:sz w:val="20"/>
                <w:szCs w:val="20"/>
              </w:rPr>
              <w:t>Legal Expense Reimbursement (2009 and 2010 only)</w:t>
            </w:r>
          </w:p>
        </w:tc>
        <w:tc>
          <w:tcPr>
            <w:tcW w:w="2970" w:type="dxa"/>
          </w:tcPr>
          <w:p w14:paraId="04D24D44" w14:textId="77777777" w:rsidR="00250577" w:rsidRPr="006818D8" w:rsidRDefault="00250577" w:rsidP="00246CE3">
            <w:pPr>
              <w:rPr>
                <w:rFonts w:ascii="Times New Roman" w:hAnsi="Times New Roman" w:cs="Times New Roman"/>
                <w:sz w:val="20"/>
                <w:szCs w:val="20"/>
              </w:rPr>
            </w:pPr>
            <w:r w:rsidRPr="006818D8">
              <w:rPr>
                <w:rFonts w:ascii="Times New Roman" w:hAnsi="Times New Roman" w:cs="Times New Roman"/>
                <w:sz w:val="20"/>
                <w:szCs w:val="20"/>
              </w:rPr>
              <w:t>N/A, $1 million, $1 million</w:t>
            </w:r>
          </w:p>
        </w:tc>
      </w:tr>
      <w:tr w:rsidR="00250577" w:rsidRPr="006C54F2" w14:paraId="08BF6FF7" w14:textId="77777777" w:rsidTr="000F64A1">
        <w:tc>
          <w:tcPr>
            <w:tcW w:w="2430" w:type="dxa"/>
          </w:tcPr>
          <w:p w14:paraId="58AF6E50" w14:textId="77777777" w:rsidR="00250577" w:rsidRPr="006818D8" w:rsidRDefault="00250577" w:rsidP="00246CE3">
            <w:pPr>
              <w:rPr>
                <w:rFonts w:ascii="Times New Roman" w:hAnsi="Times New Roman" w:cs="Times New Roman"/>
                <w:sz w:val="20"/>
                <w:szCs w:val="20"/>
              </w:rPr>
            </w:pPr>
            <w:r w:rsidRPr="00C148AB">
              <w:rPr>
                <w:rFonts w:ascii="Times New Roman" w:hAnsi="Times New Roman" w:cs="Times New Roman"/>
                <w:sz w:val="20"/>
                <w:szCs w:val="20"/>
              </w:rPr>
              <w:t>Reserve</w:t>
            </w:r>
            <w:r>
              <w:rPr>
                <w:rFonts w:ascii="Times New Roman" w:hAnsi="Times New Roman" w:cs="Times New Roman"/>
                <w:sz w:val="20"/>
                <w:szCs w:val="20"/>
              </w:rPr>
              <w:t>/PoolRe</w:t>
            </w:r>
          </w:p>
        </w:tc>
        <w:tc>
          <w:tcPr>
            <w:tcW w:w="3600" w:type="dxa"/>
          </w:tcPr>
          <w:p w14:paraId="5D27C58F" w14:textId="77777777" w:rsidR="00250577" w:rsidRPr="006818D8" w:rsidRDefault="00250577" w:rsidP="00246CE3">
            <w:pPr>
              <w:rPr>
                <w:rFonts w:ascii="Times New Roman" w:hAnsi="Times New Roman" w:cs="Times New Roman"/>
                <w:sz w:val="20"/>
                <w:szCs w:val="20"/>
              </w:rPr>
            </w:pPr>
            <w:r w:rsidRPr="006818D8">
              <w:rPr>
                <w:rFonts w:ascii="Times New Roman" w:hAnsi="Times New Roman" w:cs="Times New Roman"/>
                <w:sz w:val="20"/>
                <w:szCs w:val="20"/>
              </w:rPr>
              <w:t>Special Risk – Product Recall</w:t>
            </w:r>
          </w:p>
        </w:tc>
        <w:tc>
          <w:tcPr>
            <w:tcW w:w="2970" w:type="dxa"/>
          </w:tcPr>
          <w:p w14:paraId="59D2D843" w14:textId="77777777" w:rsidR="00250577" w:rsidRPr="006818D8" w:rsidRDefault="00250577" w:rsidP="00246CE3">
            <w:pPr>
              <w:rPr>
                <w:rFonts w:ascii="Times New Roman" w:hAnsi="Times New Roman" w:cs="Times New Roman"/>
                <w:sz w:val="20"/>
                <w:szCs w:val="20"/>
              </w:rPr>
            </w:pPr>
            <w:r w:rsidRPr="006818D8">
              <w:rPr>
                <w:rFonts w:ascii="Times New Roman" w:hAnsi="Times New Roman" w:cs="Times New Roman"/>
                <w:sz w:val="20"/>
                <w:szCs w:val="20"/>
              </w:rPr>
              <w:t>$1 million, $500,000, $500,000</w:t>
            </w:r>
          </w:p>
        </w:tc>
      </w:tr>
    </w:tbl>
    <w:p w14:paraId="3337003E" w14:textId="77777777" w:rsidR="00250577" w:rsidRDefault="00250577" w:rsidP="006818D8">
      <w:pPr>
        <w:spacing w:after="0" w:line="240" w:lineRule="auto"/>
        <w:rPr>
          <w:rFonts w:ascii="Times New Roman" w:hAnsi="Times New Roman" w:cs="Times New Roman"/>
          <w:sz w:val="24"/>
          <w:szCs w:val="24"/>
        </w:rPr>
      </w:pPr>
    </w:p>
    <w:p w14:paraId="05432BAC" w14:textId="01538364" w:rsidR="00250577" w:rsidRDefault="00250577" w:rsidP="006818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 the joint </w:t>
      </w:r>
      <w:r w:rsidRPr="00F7500D">
        <w:rPr>
          <w:rFonts w:ascii="Times New Roman" w:hAnsi="Times New Roman" w:cs="Times New Roman"/>
          <w:sz w:val="24"/>
          <w:szCs w:val="24"/>
        </w:rPr>
        <w:t xml:space="preserve">underwriting agreement, PoolRe’s participation with Reserve is limited to an intermediate loss layer above a threshold borne solely by Reserve.  </w:t>
      </w:r>
      <w:r w:rsidRPr="001919CC">
        <w:rPr>
          <w:rFonts w:ascii="Times New Roman" w:hAnsi="Times New Roman" w:cs="Times New Roman"/>
          <w:sz w:val="24"/>
          <w:szCs w:val="24"/>
        </w:rPr>
        <w:t xml:space="preserve">See Diagram 1 at page </w:t>
      </w:r>
      <w:r w:rsidR="00E90299" w:rsidRPr="001919CC">
        <w:rPr>
          <w:rFonts w:ascii="Times New Roman" w:hAnsi="Times New Roman" w:cs="Times New Roman"/>
          <w:sz w:val="24"/>
          <w:szCs w:val="24"/>
        </w:rPr>
        <w:t>15</w:t>
      </w:r>
      <w:r w:rsidR="001919CC">
        <w:rPr>
          <w:rFonts w:ascii="Times New Roman" w:hAnsi="Times New Roman" w:cs="Times New Roman"/>
          <w:sz w:val="24"/>
          <w:szCs w:val="24"/>
        </w:rPr>
        <w:t>,</w:t>
      </w:r>
      <w:r w:rsidRPr="001919CC">
        <w:rPr>
          <w:rFonts w:ascii="Times New Roman" w:hAnsi="Times New Roman" w:cs="Times New Roman"/>
          <w:sz w:val="24"/>
          <w:szCs w:val="24"/>
        </w:rPr>
        <w:t xml:space="preserve"> </w:t>
      </w:r>
      <w:r w:rsidR="001919CC">
        <w:rPr>
          <w:rFonts w:ascii="Times New Roman" w:hAnsi="Times New Roman" w:cs="Times New Roman"/>
          <w:sz w:val="24"/>
          <w:szCs w:val="24"/>
        </w:rPr>
        <w:t xml:space="preserve">which </w:t>
      </w:r>
      <w:r w:rsidRPr="001919CC">
        <w:rPr>
          <w:rFonts w:ascii="Times New Roman" w:hAnsi="Times New Roman" w:cs="Times New Roman"/>
          <w:sz w:val="24"/>
          <w:szCs w:val="24"/>
        </w:rPr>
        <w:t>depict</w:t>
      </w:r>
      <w:r w:rsidR="001919CC">
        <w:rPr>
          <w:rFonts w:ascii="Times New Roman" w:hAnsi="Times New Roman" w:cs="Times New Roman"/>
          <w:sz w:val="24"/>
          <w:szCs w:val="24"/>
        </w:rPr>
        <w:t>s</w:t>
      </w:r>
      <w:r w:rsidRPr="001919CC">
        <w:rPr>
          <w:rFonts w:ascii="Times New Roman" w:hAnsi="Times New Roman" w:cs="Times New Roman"/>
          <w:sz w:val="24"/>
          <w:szCs w:val="24"/>
        </w:rPr>
        <w:t xml:space="preserve"> the tranches of risk borne by each respective party in connection with Reserve and PoolRe’s underwriting.</w:t>
      </w:r>
      <w:r w:rsidRPr="001919CC">
        <w:rPr>
          <w:rStyle w:val="EndnoteReference"/>
          <w:rFonts w:ascii="Times New Roman" w:hAnsi="Times New Roman" w:cs="Times New Roman"/>
          <w:sz w:val="24"/>
          <w:szCs w:val="24"/>
        </w:rPr>
        <w:endnoteReference w:id="69"/>
      </w:r>
      <w:r w:rsidRPr="001919CC">
        <w:rPr>
          <w:rFonts w:ascii="Times New Roman" w:hAnsi="Times New Roman" w:cs="Times New Roman"/>
          <w:sz w:val="24"/>
          <w:szCs w:val="24"/>
        </w:rPr>
        <w:t xml:space="preserve">  This is a typical risk spreading arrangement</w:t>
      </w:r>
      <w:r>
        <w:rPr>
          <w:rFonts w:ascii="Times New Roman" w:hAnsi="Times New Roman" w:cs="Times New Roman"/>
          <w:sz w:val="24"/>
          <w:szCs w:val="24"/>
        </w:rPr>
        <w:t xml:space="preserve"> whereby the insurer (and the insureds) seeks to limit and spread risk.  In the context of an individual, Reserve’s policies are analogous to an umbrella policy which only sits over a low face value homeowner’s, auto policy or general liability policy, while also filling in the holes and gaps.  </w:t>
      </w:r>
      <w:r w:rsidRPr="0036725A">
        <w:rPr>
          <w:rFonts w:ascii="Times New Roman" w:hAnsi="Times New Roman" w:cs="Times New Roman"/>
          <w:sz w:val="24"/>
          <w:szCs w:val="24"/>
        </w:rPr>
        <w:t xml:space="preserve">As reflected in the tables above, some of the </w:t>
      </w:r>
      <w:r>
        <w:rPr>
          <w:rFonts w:ascii="Times New Roman" w:hAnsi="Times New Roman" w:cs="Times New Roman"/>
          <w:sz w:val="24"/>
          <w:szCs w:val="24"/>
        </w:rPr>
        <w:t xml:space="preserve">risks </w:t>
      </w:r>
      <w:r w:rsidRPr="0036725A">
        <w:rPr>
          <w:rFonts w:ascii="Times New Roman" w:hAnsi="Times New Roman" w:cs="Times New Roman"/>
          <w:sz w:val="24"/>
          <w:szCs w:val="24"/>
        </w:rPr>
        <w:t xml:space="preserve">insured differed </w:t>
      </w:r>
      <w:r>
        <w:rPr>
          <w:rFonts w:ascii="Times New Roman" w:hAnsi="Times New Roman" w:cs="Times New Roman"/>
          <w:sz w:val="24"/>
          <w:szCs w:val="24"/>
        </w:rPr>
        <w:t xml:space="preserve">slightly </w:t>
      </w:r>
      <w:r w:rsidRPr="0036725A">
        <w:rPr>
          <w:rFonts w:ascii="Times New Roman" w:hAnsi="Times New Roman" w:cs="Times New Roman"/>
          <w:sz w:val="24"/>
          <w:szCs w:val="24"/>
        </w:rPr>
        <w:t>from year</w:t>
      </w:r>
      <w:r>
        <w:rPr>
          <w:rFonts w:ascii="Times New Roman" w:hAnsi="Times New Roman" w:cs="Times New Roman"/>
          <w:sz w:val="24"/>
          <w:szCs w:val="24"/>
        </w:rPr>
        <w:t>-</w:t>
      </w:r>
      <w:r w:rsidRPr="0036725A">
        <w:rPr>
          <w:rFonts w:ascii="Times New Roman" w:hAnsi="Times New Roman" w:cs="Times New Roman"/>
          <w:sz w:val="24"/>
          <w:szCs w:val="24"/>
        </w:rPr>
        <w:t>to</w:t>
      </w:r>
      <w:r>
        <w:rPr>
          <w:rFonts w:ascii="Times New Roman" w:hAnsi="Times New Roman" w:cs="Times New Roman"/>
          <w:sz w:val="24"/>
          <w:szCs w:val="24"/>
        </w:rPr>
        <w:t>-</w:t>
      </w:r>
      <w:r w:rsidRPr="0036725A">
        <w:rPr>
          <w:rFonts w:ascii="Times New Roman" w:hAnsi="Times New Roman" w:cs="Times New Roman"/>
          <w:sz w:val="24"/>
          <w:szCs w:val="24"/>
        </w:rPr>
        <w:t xml:space="preserve">year as </w:t>
      </w:r>
      <w:r>
        <w:rPr>
          <w:rFonts w:ascii="Times New Roman" w:hAnsi="Times New Roman" w:cs="Times New Roman"/>
          <w:sz w:val="24"/>
          <w:szCs w:val="24"/>
        </w:rPr>
        <w:t xml:space="preserve">the </w:t>
      </w:r>
      <w:r w:rsidRPr="0036725A">
        <w:rPr>
          <w:rFonts w:ascii="Times New Roman" w:hAnsi="Times New Roman" w:cs="Times New Roman"/>
          <w:sz w:val="24"/>
          <w:szCs w:val="24"/>
        </w:rPr>
        <w:t xml:space="preserve">insureds and the </w:t>
      </w:r>
      <w:r w:rsidRPr="0036725A">
        <w:rPr>
          <w:rFonts w:ascii="Times New Roman" w:hAnsi="Times New Roman" w:cs="Times New Roman"/>
          <w:sz w:val="24"/>
          <w:szCs w:val="24"/>
        </w:rPr>
        <w:lastRenderedPageBreak/>
        <w:t>insurer</w:t>
      </w:r>
      <w:r>
        <w:rPr>
          <w:rFonts w:ascii="Times New Roman" w:hAnsi="Times New Roman" w:cs="Times New Roman"/>
          <w:sz w:val="24"/>
          <w:szCs w:val="24"/>
        </w:rPr>
        <w:t xml:space="preserve"> refined their arrangement.  </w:t>
      </w:r>
      <w:r w:rsidRPr="0036725A">
        <w:rPr>
          <w:rFonts w:ascii="Times New Roman" w:hAnsi="Times New Roman" w:cs="Times New Roman"/>
          <w:sz w:val="24"/>
          <w:szCs w:val="24"/>
        </w:rPr>
        <w:t>Similarly, the policy pricing differed from year</w:t>
      </w:r>
      <w:r>
        <w:rPr>
          <w:rFonts w:ascii="Times New Roman" w:hAnsi="Times New Roman" w:cs="Times New Roman"/>
          <w:sz w:val="24"/>
          <w:szCs w:val="24"/>
        </w:rPr>
        <w:t>-</w:t>
      </w:r>
      <w:r w:rsidRPr="0036725A">
        <w:rPr>
          <w:rFonts w:ascii="Times New Roman" w:hAnsi="Times New Roman" w:cs="Times New Roman"/>
          <w:sz w:val="24"/>
          <w:szCs w:val="24"/>
        </w:rPr>
        <w:t>to</w:t>
      </w:r>
      <w:r>
        <w:rPr>
          <w:rFonts w:ascii="Times New Roman" w:hAnsi="Times New Roman" w:cs="Times New Roman"/>
          <w:sz w:val="24"/>
          <w:szCs w:val="24"/>
        </w:rPr>
        <w:t>-</w:t>
      </w:r>
      <w:r w:rsidRPr="0036725A">
        <w:rPr>
          <w:rFonts w:ascii="Times New Roman" w:hAnsi="Times New Roman" w:cs="Times New Roman"/>
          <w:sz w:val="24"/>
          <w:szCs w:val="24"/>
        </w:rPr>
        <w:t>year</w:t>
      </w:r>
      <w:r>
        <w:rPr>
          <w:rFonts w:ascii="Times New Roman" w:hAnsi="Times New Roman" w:cs="Times New Roman"/>
          <w:sz w:val="24"/>
          <w:szCs w:val="24"/>
        </w:rPr>
        <w:t xml:space="preserve"> based on market conditions, scope of coverage, pricing factors, and other factors.</w:t>
      </w:r>
      <w:r>
        <w:rPr>
          <w:rStyle w:val="EndnoteReference"/>
          <w:rFonts w:ascii="Times New Roman" w:hAnsi="Times New Roman" w:cs="Times New Roman"/>
          <w:sz w:val="24"/>
          <w:szCs w:val="24"/>
        </w:rPr>
        <w:endnoteReference w:id="70"/>
      </w:r>
    </w:p>
    <w:p w14:paraId="7CEF12E3" w14:textId="77777777" w:rsidR="00250577" w:rsidRDefault="00250577" w:rsidP="006818D8">
      <w:pPr>
        <w:spacing w:after="0" w:line="240" w:lineRule="auto"/>
        <w:rPr>
          <w:rFonts w:ascii="Times New Roman" w:hAnsi="Times New Roman" w:cs="Times New Roman"/>
          <w:sz w:val="24"/>
          <w:szCs w:val="24"/>
        </w:rPr>
      </w:pPr>
    </w:p>
    <w:p w14:paraId="7AB49183" w14:textId="685E073F" w:rsidR="00250577" w:rsidRDefault="00250577" w:rsidP="006818D8">
      <w:pPr>
        <w:spacing w:after="0" w:line="240" w:lineRule="auto"/>
        <w:rPr>
          <w:rFonts w:ascii="Times New Roman" w:hAnsi="Times New Roman" w:cs="Times New Roman"/>
          <w:sz w:val="24"/>
          <w:szCs w:val="24"/>
        </w:rPr>
      </w:pPr>
      <w:r w:rsidRPr="00E60FA5">
        <w:rPr>
          <w:rFonts w:ascii="Times New Roman" w:hAnsi="Times New Roman" w:cs="Times New Roman"/>
          <w:sz w:val="24"/>
          <w:szCs w:val="24"/>
        </w:rPr>
        <w:t xml:space="preserve">For each captive insurer that participated in PoolRe, </w:t>
      </w:r>
      <w:r>
        <w:rPr>
          <w:rFonts w:ascii="Times New Roman" w:hAnsi="Times New Roman" w:cs="Times New Roman"/>
          <w:sz w:val="24"/>
          <w:szCs w:val="24"/>
        </w:rPr>
        <w:t xml:space="preserve">the </w:t>
      </w:r>
      <w:r w:rsidRPr="00E60FA5">
        <w:rPr>
          <w:rFonts w:ascii="Times New Roman" w:hAnsi="Times New Roman" w:cs="Times New Roman"/>
          <w:sz w:val="24"/>
          <w:szCs w:val="24"/>
        </w:rPr>
        <w:t xml:space="preserve">captive’s policies were individually </w:t>
      </w:r>
      <w:r>
        <w:rPr>
          <w:rFonts w:ascii="Times New Roman" w:hAnsi="Times New Roman" w:cs="Times New Roman"/>
          <w:sz w:val="24"/>
          <w:szCs w:val="24"/>
        </w:rPr>
        <w:t xml:space="preserve">evaluated, underwritten </w:t>
      </w:r>
      <w:r w:rsidRPr="00E60FA5">
        <w:rPr>
          <w:rFonts w:ascii="Times New Roman" w:hAnsi="Times New Roman" w:cs="Times New Roman"/>
          <w:sz w:val="24"/>
          <w:szCs w:val="24"/>
        </w:rPr>
        <w:t xml:space="preserve">and priced based upon the risk profile of its insureds for each offered policy, taking into account </w:t>
      </w:r>
      <w:r>
        <w:rPr>
          <w:rFonts w:ascii="Times New Roman" w:hAnsi="Times New Roman" w:cs="Times New Roman"/>
          <w:sz w:val="24"/>
          <w:szCs w:val="24"/>
        </w:rPr>
        <w:t xml:space="preserve">factors such as </w:t>
      </w:r>
      <w:r w:rsidRPr="00E60FA5">
        <w:rPr>
          <w:rFonts w:ascii="Times New Roman" w:hAnsi="Times New Roman" w:cs="Times New Roman"/>
          <w:sz w:val="24"/>
          <w:szCs w:val="24"/>
        </w:rPr>
        <w:t xml:space="preserve">the </w:t>
      </w:r>
      <w:r>
        <w:rPr>
          <w:rFonts w:ascii="Times New Roman" w:hAnsi="Times New Roman" w:cs="Times New Roman"/>
          <w:sz w:val="24"/>
          <w:szCs w:val="24"/>
        </w:rPr>
        <w:t xml:space="preserve">insureds’ </w:t>
      </w:r>
      <w:r w:rsidRPr="00E60FA5">
        <w:rPr>
          <w:rFonts w:ascii="Times New Roman" w:hAnsi="Times New Roman" w:cs="Times New Roman"/>
          <w:sz w:val="24"/>
          <w:szCs w:val="24"/>
        </w:rPr>
        <w:t xml:space="preserve">revenue, employment, size of </w:t>
      </w:r>
      <w:r>
        <w:rPr>
          <w:rFonts w:ascii="Times New Roman" w:hAnsi="Times New Roman" w:cs="Times New Roman"/>
          <w:sz w:val="24"/>
          <w:szCs w:val="24"/>
        </w:rPr>
        <w:t xml:space="preserve">facilities, </w:t>
      </w:r>
      <w:r w:rsidRPr="00E60FA5">
        <w:rPr>
          <w:rFonts w:ascii="Times New Roman" w:hAnsi="Times New Roman" w:cs="Times New Roman"/>
          <w:sz w:val="24"/>
          <w:szCs w:val="24"/>
        </w:rPr>
        <w:t xml:space="preserve">etc. </w:t>
      </w:r>
      <w:r>
        <w:rPr>
          <w:rFonts w:ascii="Times New Roman" w:hAnsi="Times New Roman" w:cs="Times New Roman"/>
          <w:sz w:val="24"/>
          <w:szCs w:val="24"/>
        </w:rPr>
        <w:t xml:space="preserve">as the case may be </w:t>
      </w:r>
      <w:r w:rsidRPr="00E60FA5">
        <w:rPr>
          <w:rFonts w:ascii="Times New Roman" w:hAnsi="Times New Roman" w:cs="Times New Roman"/>
          <w:sz w:val="24"/>
          <w:szCs w:val="24"/>
        </w:rPr>
        <w:t>for each insured.</w:t>
      </w:r>
      <w:r>
        <w:rPr>
          <w:rStyle w:val="EndnoteReference"/>
          <w:rFonts w:ascii="Times New Roman" w:hAnsi="Times New Roman" w:cs="Times New Roman"/>
          <w:sz w:val="24"/>
          <w:szCs w:val="24"/>
        </w:rPr>
        <w:endnoteReference w:id="71"/>
      </w:r>
      <w:r w:rsidRPr="00E60FA5">
        <w:rPr>
          <w:rFonts w:ascii="Times New Roman" w:hAnsi="Times New Roman" w:cs="Times New Roman"/>
          <w:sz w:val="24"/>
          <w:szCs w:val="24"/>
        </w:rPr>
        <w:t xml:space="preserve">  Nonetheless, </w:t>
      </w:r>
      <w:r>
        <w:rPr>
          <w:rFonts w:ascii="Times New Roman" w:hAnsi="Times New Roman" w:cs="Times New Roman"/>
          <w:sz w:val="24"/>
          <w:szCs w:val="24"/>
        </w:rPr>
        <w:t xml:space="preserve">without any proof to the contrary and ignoring the uncontested testimony that such was the case, </w:t>
      </w:r>
      <w:r w:rsidRPr="00E60FA5">
        <w:rPr>
          <w:rFonts w:ascii="Times New Roman" w:hAnsi="Times New Roman" w:cs="Times New Roman"/>
          <w:sz w:val="24"/>
          <w:szCs w:val="24"/>
        </w:rPr>
        <w:t>the Cour</w:t>
      </w:r>
      <w:r>
        <w:rPr>
          <w:rFonts w:ascii="Times New Roman" w:hAnsi="Times New Roman" w:cs="Times New Roman"/>
          <w:sz w:val="24"/>
          <w:szCs w:val="24"/>
        </w:rPr>
        <w:t xml:space="preserve">t (erroneously) </w:t>
      </w:r>
      <w:r w:rsidRPr="00E60FA5">
        <w:rPr>
          <w:rFonts w:ascii="Times New Roman" w:hAnsi="Times New Roman" w:cs="Times New Roman"/>
          <w:sz w:val="24"/>
          <w:szCs w:val="24"/>
        </w:rPr>
        <w:t>concluded that the 6</w:t>
      </w:r>
      <w:r>
        <w:rPr>
          <w:rFonts w:ascii="Times New Roman" w:hAnsi="Times New Roman" w:cs="Times New Roman"/>
          <w:sz w:val="24"/>
          <w:szCs w:val="24"/>
        </w:rPr>
        <w:t>5</w:t>
      </w:r>
      <w:r w:rsidRPr="00E60FA5">
        <w:rPr>
          <w:rFonts w:ascii="Times New Roman" w:hAnsi="Times New Roman" w:cs="Times New Roman"/>
          <w:sz w:val="24"/>
          <w:szCs w:val="24"/>
        </w:rPr>
        <w:t>0</w:t>
      </w:r>
      <w:r>
        <w:rPr>
          <w:rFonts w:ascii="Times New Roman" w:hAnsi="Times New Roman" w:cs="Times New Roman"/>
          <w:sz w:val="24"/>
          <w:szCs w:val="24"/>
        </w:rPr>
        <w:t>+</w:t>
      </w:r>
      <w:r w:rsidRPr="00E60FA5">
        <w:rPr>
          <w:rFonts w:ascii="Times New Roman" w:hAnsi="Times New Roman" w:cs="Times New Roman"/>
          <w:sz w:val="24"/>
          <w:szCs w:val="24"/>
        </w:rPr>
        <w:t xml:space="preserve"> policies in the pool were </w:t>
      </w:r>
      <w:r>
        <w:rPr>
          <w:rFonts w:ascii="Times New Roman" w:hAnsi="Times New Roman" w:cs="Times New Roman"/>
          <w:sz w:val="24"/>
          <w:szCs w:val="24"/>
        </w:rPr>
        <w:t xml:space="preserve">priced using a </w:t>
      </w:r>
      <w:r w:rsidRPr="00E60FA5">
        <w:rPr>
          <w:rFonts w:ascii="Times New Roman" w:hAnsi="Times New Roman" w:cs="Times New Roman"/>
          <w:sz w:val="24"/>
          <w:szCs w:val="24"/>
        </w:rPr>
        <w:t>“one</w:t>
      </w:r>
      <w:r>
        <w:rPr>
          <w:rFonts w:ascii="Times New Roman" w:hAnsi="Times New Roman" w:cs="Times New Roman"/>
          <w:sz w:val="24"/>
          <w:szCs w:val="24"/>
        </w:rPr>
        <w:t>-</w:t>
      </w:r>
      <w:r w:rsidRPr="00E60FA5">
        <w:rPr>
          <w:rFonts w:ascii="Times New Roman" w:hAnsi="Times New Roman" w:cs="Times New Roman"/>
          <w:sz w:val="24"/>
          <w:szCs w:val="24"/>
        </w:rPr>
        <w:t>size</w:t>
      </w:r>
      <w:r>
        <w:rPr>
          <w:rFonts w:ascii="Times New Roman" w:hAnsi="Times New Roman" w:cs="Times New Roman"/>
          <w:sz w:val="24"/>
          <w:szCs w:val="24"/>
        </w:rPr>
        <w:t>-</w:t>
      </w:r>
      <w:r w:rsidRPr="00E60FA5">
        <w:rPr>
          <w:rFonts w:ascii="Times New Roman" w:hAnsi="Times New Roman" w:cs="Times New Roman"/>
          <w:sz w:val="24"/>
          <w:szCs w:val="24"/>
        </w:rPr>
        <w:t>fits</w:t>
      </w:r>
      <w:r>
        <w:rPr>
          <w:rFonts w:ascii="Times New Roman" w:hAnsi="Times New Roman" w:cs="Times New Roman"/>
          <w:sz w:val="24"/>
          <w:szCs w:val="24"/>
        </w:rPr>
        <w:t>-</w:t>
      </w:r>
      <w:r w:rsidRPr="00E60FA5">
        <w:rPr>
          <w:rFonts w:ascii="Times New Roman" w:hAnsi="Times New Roman" w:cs="Times New Roman"/>
          <w:sz w:val="24"/>
          <w:szCs w:val="24"/>
        </w:rPr>
        <w:t>all”</w:t>
      </w:r>
      <w:r>
        <w:rPr>
          <w:rFonts w:ascii="Times New Roman" w:hAnsi="Times New Roman" w:cs="Times New Roman"/>
          <w:sz w:val="24"/>
          <w:szCs w:val="24"/>
        </w:rPr>
        <w:t xml:space="preserve"> rate.</w:t>
      </w:r>
      <w:r>
        <w:rPr>
          <w:rStyle w:val="EndnoteReference"/>
          <w:rFonts w:ascii="Times New Roman" w:hAnsi="Times New Roman" w:cs="Times New Roman"/>
          <w:sz w:val="24"/>
          <w:szCs w:val="24"/>
        </w:rPr>
        <w:endnoteReference w:id="72"/>
      </w:r>
      <w:r>
        <w:rPr>
          <w:rFonts w:ascii="Times New Roman" w:hAnsi="Times New Roman" w:cs="Times New Roman"/>
          <w:sz w:val="24"/>
          <w:szCs w:val="24"/>
        </w:rPr>
        <w:t xml:space="preserve">  Finding against Reserve, the Court seized </w:t>
      </w:r>
      <w:r w:rsidRPr="00170FE2">
        <w:rPr>
          <w:rFonts w:ascii="Times New Roman" w:hAnsi="Times New Roman" w:cs="Times New Roman"/>
          <w:sz w:val="24"/>
          <w:szCs w:val="24"/>
        </w:rPr>
        <w:t xml:space="preserve">on </w:t>
      </w:r>
      <w:r>
        <w:rPr>
          <w:rFonts w:ascii="Times New Roman" w:hAnsi="Times New Roman" w:cs="Times New Roman"/>
          <w:sz w:val="24"/>
          <w:szCs w:val="24"/>
        </w:rPr>
        <w:t xml:space="preserve">this </w:t>
      </w:r>
      <w:r w:rsidRPr="00170FE2">
        <w:rPr>
          <w:rFonts w:ascii="Times New Roman" w:hAnsi="Times New Roman" w:cs="Times New Roman"/>
          <w:sz w:val="24"/>
          <w:szCs w:val="24"/>
        </w:rPr>
        <w:t xml:space="preserve">uncontroverted </w:t>
      </w:r>
      <w:r>
        <w:rPr>
          <w:rFonts w:ascii="Times New Roman" w:hAnsi="Times New Roman" w:cs="Times New Roman"/>
          <w:sz w:val="24"/>
          <w:szCs w:val="24"/>
        </w:rPr>
        <w:t xml:space="preserve">fact </w:t>
      </w:r>
      <w:r w:rsidRPr="00170FE2">
        <w:rPr>
          <w:rFonts w:ascii="Times New Roman" w:hAnsi="Times New Roman" w:cs="Times New Roman"/>
          <w:sz w:val="24"/>
          <w:szCs w:val="24"/>
        </w:rPr>
        <w:t xml:space="preserve">for which Reserve </w:t>
      </w:r>
      <w:r>
        <w:rPr>
          <w:rFonts w:ascii="Times New Roman" w:hAnsi="Times New Roman" w:cs="Times New Roman"/>
          <w:sz w:val="24"/>
          <w:szCs w:val="24"/>
        </w:rPr>
        <w:t xml:space="preserve">additionally </w:t>
      </w:r>
      <w:r w:rsidRPr="00170FE2">
        <w:rPr>
          <w:rFonts w:ascii="Times New Roman" w:hAnsi="Times New Roman" w:cs="Times New Roman"/>
          <w:sz w:val="24"/>
          <w:szCs w:val="24"/>
        </w:rPr>
        <w:t>carried its burden of proof</w:t>
      </w:r>
      <w:r>
        <w:rPr>
          <w:rFonts w:ascii="Times New Roman" w:hAnsi="Times New Roman" w:cs="Times New Roman"/>
          <w:sz w:val="24"/>
          <w:szCs w:val="24"/>
        </w:rPr>
        <w:t>.  T</w:t>
      </w:r>
      <w:r w:rsidRPr="00170FE2">
        <w:rPr>
          <w:rFonts w:ascii="Times New Roman" w:hAnsi="Times New Roman" w:cs="Times New Roman"/>
          <w:sz w:val="24"/>
          <w:szCs w:val="24"/>
        </w:rPr>
        <w:t xml:space="preserve">he Court brushed aside the evidence and presented no analysis as to its </w:t>
      </w:r>
      <w:r>
        <w:rPr>
          <w:rFonts w:ascii="Times New Roman" w:hAnsi="Times New Roman" w:cs="Times New Roman"/>
          <w:sz w:val="24"/>
          <w:szCs w:val="24"/>
        </w:rPr>
        <w:t xml:space="preserve">“one-size-fits-all” </w:t>
      </w:r>
      <w:r w:rsidRPr="00170FE2">
        <w:rPr>
          <w:rFonts w:ascii="Times New Roman" w:hAnsi="Times New Roman" w:cs="Times New Roman"/>
          <w:sz w:val="24"/>
          <w:szCs w:val="24"/>
        </w:rPr>
        <w:t>finding.  The Court did</w:t>
      </w:r>
      <w:r>
        <w:rPr>
          <w:rFonts w:ascii="Times New Roman" w:hAnsi="Times New Roman" w:cs="Times New Roman"/>
          <w:sz w:val="24"/>
          <w:szCs w:val="24"/>
        </w:rPr>
        <w:t xml:space="preserve"> so by cherry picking holdings from </w:t>
      </w:r>
      <w:r w:rsidRPr="00E719EB">
        <w:rPr>
          <w:rFonts w:ascii="Times New Roman" w:hAnsi="Times New Roman" w:cs="Times New Roman"/>
          <w:i/>
          <w:sz w:val="24"/>
          <w:szCs w:val="24"/>
        </w:rPr>
        <w:t>Avrahami</w:t>
      </w:r>
      <w:r>
        <w:rPr>
          <w:rFonts w:ascii="Times New Roman" w:hAnsi="Times New Roman" w:cs="Times New Roman"/>
          <w:sz w:val="24"/>
          <w:szCs w:val="24"/>
        </w:rPr>
        <w:t xml:space="preserve"> and misapplying them without factual support to </w:t>
      </w:r>
      <w:r w:rsidRPr="00E719EB">
        <w:rPr>
          <w:rFonts w:ascii="Times New Roman" w:hAnsi="Times New Roman" w:cs="Times New Roman"/>
          <w:i/>
          <w:sz w:val="24"/>
          <w:szCs w:val="24"/>
        </w:rPr>
        <w:t>Reserve</w:t>
      </w:r>
      <w:r>
        <w:rPr>
          <w:rFonts w:ascii="Times New Roman" w:hAnsi="Times New Roman" w:cs="Times New Roman"/>
          <w:sz w:val="24"/>
          <w:szCs w:val="24"/>
        </w:rPr>
        <w:t>.</w:t>
      </w:r>
    </w:p>
    <w:p w14:paraId="7C3F42F3" w14:textId="77777777" w:rsidR="00250577" w:rsidRDefault="00250577" w:rsidP="006818D8">
      <w:pPr>
        <w:spacing w:after="0" w:line="240" w:lineRule="auto"/>
        <w:rPr>
          <w:rFonts w:ascii="Times New Roman" w:hAnsi="Times New Roman" w:cs="Times New Roman"/>
          <w:sz w:val="24"/>
          <w:szCs w:val="24"/>
        </w:rPr>
      </w:pPr>
    </w:p>
    <w:p w14:paraId="21F867EE" w14:textId="59548767" w:rsidR="00250577" w:rsidRPr="00DA13F4" w:rsidRDefault="00250577" w:rsidP="006818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Among the </w:t>
      </w:r>
      <w:r w:rsidR="00794FCD">
        <w:rPr>
          <w:rFonts w:ascii="Times New Roman" w:hAnsi="Times New Roman" w:cs="Times New Roman"/>
          <w:sz w:val="24"/>
          <w:szCs w:val="24"/>
        </w:rPr>
        <w:t xml:space="preserve">most </w:t>
      </w:r>
      <w:r>
        <w:rPr>
          <w:rFonts w:ascii="Times New Roman" w:hAnsi="Times New Roman" w:cs="Times New Roman"/>
          <w:sz w:val="24"/>
          <w:szCs w:val="24"/>
        </w:rPr>
        <w:t xml:space="preserve">striking examples is that the Court complained of the policies being marked “excess” (deliberately obfuscating the meaning of such) even though the policies’ terms </w:t>
      </w:r>
      <w:r w:rsidRPr="00B15E62">
        <w:rPr>
          <w:rFonts w:ascii="Times New Roman" w:hAnsi="Times New Roman" w:cs="Times New Roman"/>
          <w:b/>
          <w:i/>
          <w:sz w:val="24"/>
          <w:szCs w:val="24"/>
        </w:rPr>
        <w:t>on their face</w:t>
      </w:r>
      <w:r>
        <w:rPr>
          <w:rFonts w:ascii="Times New Roman" w:hAnsi="Times New Roman" w:cs="Times New Roman"/>
          <w:sz w:val="24"/>
          <w:szCs w:val="24"/>
        </w:rPr>
        <w:t xml:space="preserve"> did not require any underlying commercial coverages to be in place and where the uncontroverted evidence is that there were no underlying </w:t>
      </w:r>
      <w:r w:rsidRPr="00DA13F4">
        <w:rPr>
          <w:rFonts w:ascii="Times New Roman" w:hAnsi="Times New Roman" w:cs="Times New Roman"/>
          <w:sz w:val="24"/>
          <w:szCs w:val="24"/>
        </w:rPr>
        <w:t xml:space="preserve">coverages. </w:t>
      </w:r>
      <w:r>
        <w:rPr>
          <w:rFonts w:ascii="Times New Roman" w:hAnsi="Times New Roman" w:cs="Times New Roman"/>
          <w:sz w:val="24"/>
          <w:szCs w:val="24"/>
        </w:rPr>
        <w:t xml:space="preserve"> The Court ignored express policy language where the term </w:t>
      </w:r>
      <w:r w:rsidRPr="00DA13F4">
        <w:rPr>
          <w:rFonts w:ascii="Times New Roman" w:hAnsi="Times New Roman" w:cs="Times New Roman"/>
          <w:sz w:val="24"/>
          <w:szCs w:val="24"/>
        </w:rPr>
        <w:t>“</w:t>
      </w:r>
      <w:r>
        <w:rPr>
          <w:rFonts w:ascii="Times New Roman" w:hAnsi="Times New Roman" w:cs="Times New Roman"/>
          <w:sz w:val="24"/>
          <w:szCs w:val="24"/>
        </w:rPr>
        <w:t>e</w:t>
      </w:r>
      <w:r w:rsidRPr="00DA13F4">
        <w:rPr>
          <w:rFonts w:ascii="Times New Roman" w:hAnsi="Times New Roman" w:cs="Times New Roman"/>
          <w:sz w:val="24"/>
          <w:szCs w:val="24"/>
        </w:rPr>
        <w:t xml:space="preserve">xcess” provided </w:t>
      </w:r>
      <w:r>
        <w:rPr>
          <w:rFonts w:ascii="Times New Roman" w:hAnsi="Times New Roman" w:cs="Times New Roman"/>
          <w:sz w:val="24"/>
          <w:szCs w:val="24"/>
        </w:rPr>
        <w:t xml:space="preserve">that </w:t>
      </w:r>
      <w:r>
        <w:rPr>
          <w:rFonts w:ascii="Times New Roman" w:hAnsi="Times New Roman" w:cs="Times New Roman"/>
          <w:b/>
          <w:i/>
          <w:sz w:val="24"/>
          <w:szCs w:val="24"/>
        </w:rPr>
        <w:t>only i</w:t>
      </w:r>
      <w:r w:rsidRPr="007F0874">
        <w:rPr>
          <w:rFonts w:ascii="Times New Roman" w:hAnsi="Times New Roman" w:cs="Times New Roman"/>
          <w:b/>
          <w:i/>
          <w:sz w:val="24"/>
          <w:szCs w:val="24"/>
        </w:rPr>
        <w:t>f there were other insurance in place</w:t>
      </w:r>
      <w:r w:rsidRPr="00DA13F4">
        <w:rPr>
          <w:rFonts w:ascii="Times New Roman" w:hAnsi="Times New Roman" w:cs="Times New Roman"/>
          <w:sz w:val="24"/>
          <w:szCs w:val="24"/>
        </w:rPr>
        <w:t xml:space="preserve"> – which was not the case in any of the years at issue – </w:t>
      </w:r>
      <w:r>
        <w:rPr>
          <w:rFonts w:ascii="Times New Roman" w:hAnsi="Times New Roman" w:cs="Times New Roman"/>
          <w:sz w:val="24"/>
          <w:szCs w:val="24"/>
        </w:rPr>
        <w:t xml:space="preserve">would </w:t>
      </w:r>
      <w:r w:rsidRPr="00DA13F4">
        <w:rPr>
          <w:rFonts w:ascii="Times New Roman" w:hAnsi="Times New Roman" w:cs="Times New Roman"/>
          <w:sz w:val="24"/>
          <w:szCs w:val="24"/>
        </w:rPr>
        <w:t xml:space="preserve">Reserve’s policies provide secondary coverage.  </w:t>
      </w:r>
      <w:r>
        <w:rPr>
          <w:rFonts w:ascii="Times New Roman" w:hAnsi="Times New Roman" w:cs="Times New Roman"/>
          <w:sz w:val="24"/>
          <w:szCs w:val="24"/>
        </w:rPr>
        <w:t>Otherwise, Reserve’s coverages were primary.  The Court excised the limiting language (see bolded portion below) and substituted ellipsis in the Opinion for the omission.  In fact, e</w:t>
      </w:r>
      <w:r w:rsidRPr="00DA13F4">
        <w:rPr>
          <w:rFonts w:ascii="Times New Roman" w:hAnsi="Times New Roman" w:cs="Times New Roman"/>
          <w:sz w:val="24"/>
          <w:szCs w:val="24"/>
        </w:rPr>
        <w:t>ach policy provided as follows:</w:t>
      </w:r>
    </w:p>
    <w:p w14:paraId="51B7CE7B" w14:textId="77777777" w:rsidR="00250577" w:rsidRPr="00DA13F4" w:rsidRDefault="00250577" w:rsidP="006818D8">
      <w:pPr>
        <w:spacing w:after="0" w:line="240" w:lineRule="auto"/>
        <w:rPr>
          <w:rFonts w:ascii="Times New Roman" w:hAnsi="Times New Roman" w:cs="Times New Roman"/>
          <w:sz w:val="24"/>
          <w:szCs w:val="24"/>
        </w:rPr>
      </w:pPr>
    </w:p>
    <w:p w14:paraId="1379274B" w14:textId="77777777" w:rsidR="00250577" w:rsidRDefault="00250577" w:rsidP="00D406CD">
      <w:pPr>
        <w:spacing w:after="0" w:line="240" w:lineRule="auto"/>
        <w:ind w:left="720"/>
        <w:rPr>
          <w:rFonts w:ascii="Times New Roman" w:hAnsi="Times New Roman" w:cs="Times New Roman"/>
          <w:sz w:val="24"/>
          <w:szCs w:val="24"/>
        </w:rPr>
      </w:pPr>
      <w:r w:rsidRPr="00B03185">
        <w:rPr>
          <w:rFonts w:ascii="Times New Roman" w:hAnsi="Times New Roman" w:cs="Times New Roman"/>
          <w:sz w:val="24"/>
          <w:szCs w:val="24"/>
        </w:rPr>
        <w:t>THE COVERAGES AFFORDED BY THIS POLICY ARE EXCESS</w:t>
      </w:r>
      <w:r>
        <w:rPr>
          <w:rFonts w:ascii="Times New Roman" w:hAnsi="Times New Roman" w:cs="Times New Roman"/>
          <w:sz w:val="24"/>
          <w:szCs w:val="24"/>
        </w:rPr>
        <w:t xml:space="preserve"> </w:t>
      </w:r>
      <w:r w:rsidRPr="00B03185">
        <w:rPr>
          <w:rFonts w:ascii="Times New Roman" w:hAnsi="Times New Roman" w:cs="Times New Roman"/>
          <w:sz w:val="24"/>
          <w:szCs w:val="24"/>
        </w:rPr>
        <w:t>OVER ANY OTHER VALID AND COLLECTIBLE INSURANCE</w:t>
      </w:r>
      <w:r>
        <w:rPr>
          <w:rFonts w:ascii="Times New Roman" w:hAnsi="Times New Roman" w:cs="Times New Roman"/>
          <w:sz w:val="24"/>
          <w:szCs w:val="24"/>
        </w:rPr>
        <w:t xml:space="preserve"> </w:t>
      </w:r>
      <w:r w:rsidRPr="00B03185">
        <w:rPr>
          <w:rFonts w:ascii="Times New Roman" w:hAnsi="Times New Roman" w:cs="Times New Roman"/>
          <w:sz w:val="24"/>
          <w:szCs w:val="24"/>
        </w:rPr>
        <w:t>POLICY ISSUED BY ANY OTHER INSURER * * *. THE LIMITS</w:t>
      </w:r>
      <w:r>
        <w:rPr>
          <w:rFonts w:ascii="Times New Roman" w:hAnsi="Times New Roman" w:cs="Times New Roman"/>
          <w:sz w:val="24"/>
          <w:szCs w:val="24"/>
        </w:rPr>
        <w:t xml:space="preserve"> </w:t>
      </w:r>
      <w:r w:rsidRPr="00B03185">
        <w:rPr>
          <w:rFonts w:ascii="Times New Roman" w:hAnsi="Times New Roman" w:cs="Times New Roman"/>
          <w:sz w:val="24"/>
          <w:szCs w:val="24"/>
        </w:rPr>
        <w:t>AND DEDUCTIBLES STATED HEREIN ONLY APPLY AFTER</w:t>
      </w:r>
      <w:r>
        <w:rPr>
          <w:rFonts w:ascii="Times New Roman" w:hAnsi="Times New Roman" w:cs="Times New Roman"/>
          <w:sz w:val="24"/>
          <w:szCs w:val="24"/>
        </w:rPr>
        <w:t xml:space="preserve"> </w:t>
      </w:r>
      <w:r w:rsidRPr="00B03185">
        <w:rPr>
          <w:rFonts w:ascii="Times New Roman" w:hAnsi="Times New Roman" w:cs="Times New Roman"/>
          <w:sz w:val="24"/>
          <w:szCs w:val="24"/>
        </w:rPr>
        <w:t>COVERAGE IS EXHAUSTED FROM ANY AND ALL OTHER</w:t>
      </w:r>
      <w:r>
        <w:rPr>
          <w:rFonts w:ascii="Times New Roman" w:hAnsi="Times New Roman" w:cs="Times New Roman"/>
          <w:sz w:val="24"/>
          <w:szCs w:val="24"/>
        </w:rPr>
        <w:t xml:space="preserve"> </w:t>
      </w:r>
      <w:r w:rsidRPr="00B03185">
        <w:rPr>
          <w:rFonts w:ascii="Times New Roman" w:hAnsi="Times New Roman" w:cs="Times New Roman"/>
          <w:sz w:val="24"/>
          <w:szCs w:val="24"/>
        </w:rPr>
        <w:t>VALID INSURANCE POLICIES ISSUED BY ANY OTHER</w:t>
      </w:r>
      <w:r>
        <w:rPr>
          <w:rFonts w:ascii="Times New Roman" w:hAnsi="Times New Roman" w:cs="Times New Roman"/>
          <w:sz w:val="24"/>
          <w:szCs w:val="24"/>
        </w:rPr>
        <w:t xml:space="preserve"> </w:t>
      </w:r>
      <w:r w:rsidRPr="00B03185">
        <w:rPr>
          <w:rFonts w:ascii="Times New Roman" w:hAnsi="Times New Roman" w:cs="Times New Roman"/>
          <w:sz w:val="24"/>
          <w:szCs w:val="24"/>
        </w:rPr>
        <w:t>INSURER.</w:t>
      </w:r>
      <w:r>
        <w:rPr>
          <w:rStyle w:val="EndnoteReference"/>
          <w:rFonts w:ascii="Times New Roman" w:hAnsi="Times New Roman" w:cs="Times New Roman"/>
          <w:sz w:val="24"/>
          <w:szCs w:val="24"/>
        </w:rPr>
        <w:endnoteReference w:id="73"/>
      </w:r>
    </w:p>
    <w:p w14:paraId="29E51D39" w14:textId="2D946814" w:rsidR="00250577" w:rsidRPr="000A7A0E" w:rsidRDefault="00250577">
      <w:pPr>
        <w:spacing w:after="0" w:line="240" w:lineRule="auto"/>
        <w:ind w:left="720"/>
        <w:jc w:val="center"/>
        <w:rPr>
          <w:rFonts w:ascii="Times New Roman" w:hAnsi="Times New Roman" w:cs="Times New Roman"/>
          <w:sz w:val="24"/>
          <w:szCs w:val="24"/>
        </w:rPr>
      </w:pPr>
      <w:r w:rsidRPr="000A7A0E">
        <w:rPr>
          <w:rFonts w:ascii="Times New Roman" w:hAnsi="Times New Roman" w:cs="Times New Roman"/>
          <w:sz w:val="24"/>
          <w:szCs w:val="24"/>
        </w:rPr>
        <w:t xml:space="preserve">    *    *</w:t>
      </w:r>
    </w:p>
    <w:p w14:paraId="559ED74B" w14:textId="77777777" w:rsidR="00250577" w:rsidRPr="00DA13F4" w:rsidRDefault="00250577" w:rsidP="000C4F37">
      <w:pPr>
        <w:spacing w:after="0" w:line="240" w:lineRule="auto"/>
        <w:ind w:left="720"/>
        <w:rPr>
          <w:rFonts w:ascii="Times New Roman" w:hAnsi="Times New Roman" w:cs="Times New Roman"/>
          <w:sz w:val="24"/>
          <w:szCs w:val="24"/>
        </w:rPr>
      </w:pPr>
      <w:r w:rsidRPr="00DA13F4">
        <w:rPr>
          <w:rFonts w:ascii="Times New Roman" w:hAnsi="Times New Roman" w:cs="Times New Roman"/>
          <w:sz w:val="24"/>
          <w:szCs w:val="24"/>
        </w:rPr>
        <w:t xml:space="preserve">THIS EXCESS POLICY DOES NOT REQUIRE THE INSURED TO MAINTAIN ANY SPECIFIC UNDERLYING PRIMARY INSURANCE POLICIES UNLESS SPECIFIED BY ENDORSEMENT TO THIS POLICY. </w:t>
      </w:r>
      <w:r w:rsidRPr="00DA13F4">
        <w:rPr>
          <w:rStyle w:val="Strong"/>
          <w:rFonts w:ascii="Times New Roman" w:hAnsi="Times New Roman" w:cs="Times New Roman"/>
          <w:sz w:val="24"/>
          <w:szCs w:val="24"/>
          <w:u w:val="single"/>
        </w:rPr>
        <w:t>THE COVERAGES AFFORDED</w:t>
      </w:r>
      <w:r>
        <w:rPr>
          <w:rStyle w:val="Strong"/>
          <w:rFonts w:ascii="Times New Roman" w:hAnsi="Times New Roman" w:cs="Times New Roman"/>
          <w:sz w:val="24"/>
          <w:szCs w:val="24"/>
          <w:u w:val="single"/>
        </w:rPr>
        <w:t xml:space="preserve"> </w:t>
      </w:r>
      <w:r w:rsidRPr="00DA13F4">
        <w:rPr>
          <w:rStyle w:val="Strong"/>
          <w:rFonts w:ascii="Times New Roman" w:hAnsi="Times New Roman" w:cs="Times New Roman"/>
          <w:sz w:val="24"/>
          <w:szCs w:val="24"/>
          <w:u w:val="single"/>
        </w:rPr>
        <w:t>HEREIN WILL DROP DOWN AND PROVIDE COVERAGE ONLY IF THERE ARE NO OTHER VALID AND COLLECTIBLE INSURANCE POLICIES IN FORCE TO WHICH A CLAIM WOULD APPLY, SUBJECT TO THIS POLICY’S TERMS AND CONDITIONS.</w:t>
      </w:r>
      <w:r w:rsidRPr="00DA13F4">
        <w:rPr>
          <w:rFonts w:ascii="Times New Roman" w:hAnsi="Times New Roman" w:cs="Times New Roman"/>
          <w:sz w:val="24"/>
          <w:szCs w:val="24"/>
        </w:rPr>
        <w:t xml:space="preserve"> (emphasis added)</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74"/>
      </w:r>
    </w:p>
    <w:p w14:paraId="6501AA17" w14:textId="77777777" w:rsidR="00250577" w:rsidRDefault="00250577" w:rsidP="00F639D3">
      <w:pPr>
        <w:spacing w:after="0" w:line="240" w:lineRule="auto"/>
        <w:rPr>
          <w:rFonts w:ascii="Times New Roman" w:hAnsi="Times New Roman" w:cs="Times New Roman"/>
          <w:sz w:val="24"/>
          <w:szCs w:val="24"/>
        </w:rPr>
      </w:pPr>
    </w:p>
    <w:p w14:paraId="7759B246" w14:textId="5A8F6657" w:rsidR="00250577" w:rsidRDefault="00250577" w:rsidP="00F639D3">
      <w:pPr>
        <w:spacing w:after="0" w:line="240" w:lineRule="auto"/>
        <w:rPr>
          <w:rFonts w:ascii="Times New Roman" w:hAnsi="Times New Roman" w:cs="Times New Roman"/>
          <w:sz w:val="24"/>
          <w:szCs w:val="24"/>
        </w:rPr>
      </w:pPr>
      <w:r>
        <w:rPr>
          <w:rFonts w:ascii="Times New Roman" w:hAnsi="Times New Roman" w:cs="Times New Roman"/>
          <w:sz w:val="24"/>
          <w:szCs w:val="24"/>
        </w:rPr>
        <w:t>In</w:t>
      </w:r>
      <w:r w:rsidRPr="00DA13F4">
        <w:rPr>
          <w:rFonts w:ascii="Times New Roman" w:hAnsi="Times New Roman" w:cs="Times New Roman"/>
          <w:sz w:val="24"/>
          <w:szCs w:val="24"/>
        </w:rPr>
        <w:t xml:space="preserve"> contrast</w:t>
      </w:r>
      <w:r>
        <w:rPr>
          <w:rFonts w:ascii="Times New Roman" w:hAnsi="Times New Roman" w:cs="Times New Roman"/>
          <w:sz w:val="24"/>
          <w:szCs w:val="24"/>
        </w:rPr>
        <w:t xml:space="preserve"> with the above express provisions that were included in the direct written policies</w:t>
      </w:r>
      <w:r w:rsidRPr="00DA13F4">
        <w:rPr>
          <w:rFonts w:ascii="Times New Roman" w:hAnsi="Times New Roman" w:cs="Times New Roman"/>
          <w:sz w:val="24"/>
          <w:szCs w:val="24"/>
        </w:rPr>
        <w:t>, the</w:t>
      </w:r>
      <w:r>
        <w:rPr>
          <w:rFonts w:ascii="Times New Roman" w:hAnsi="Times New Roman" w:cs="Times New Roman"/>
          <w:sz w:val="24"/>
          <w:szCs w:val="24"/>
        </w:rPr>
        <w:t xml:space="preserve"> Court erroneously suggested </w:t>
      </w:r>
      <w:r w:rsidRPr="00DA13F4">
        <w:rPr>
          <w:rFonts w:ascii="Times New Roman" w:hAnsi="Times New Roman" w:cs="Times New Roman"/>
          <w:sz w:val="24"/>
          <w:szCs w:val="24"/>
        </w:rPr>
        <w:t>that</w:t>
      </w:r>
      <w:r>
        <w:rPr>
          <w:rFonts w:ascii="Times New Roman" w:hAnsi="Times New Roman" w:cs="Times New Roman"/>
          <w:sz w:val="24"/>
          <w:szCs w:val="24"/>
        </w:rPr>
        <w:t xml:space="preserve"> there were underlying or overlapping commercial coverages – which there were not – and that Reserve’s policies were erroneously priced.</w:t>
      </w:r>
      <w:r>
        <w:rPr>
          <w:rStyle w:val="EndnoteReference"/>
          <w:rFonts w:ascii="Times New Roman" w:hAnsi="Times New Roman" w:cs="Times New Roman"/>
          <w:sz w:val="24"/>
          <w:szCs w:val="24"/>
        </w:rPr>
        <w:endnoteReference w:id="75"/>
      </w:r>
      <w:r>
        <w:rPr>
          <w:rFonts w:ascii="Times New Roman" w:hAnsi="Times New Roman" w:cs="Times New Roman"/>
          <w:sz w:val="24"/>
          <w:szCs w:val="24"/>
        </w:rPr>
        <w:t xml:space="preserve">  The Court’s position was not even argued at trial, nor was this even the subject of any testimony or briefing.  The Court created this issue on its own, ignoring the clear contractual language.</w:t>
      </w:r>
      <w:r w:rsidRPr="00773A8D">
        <w:rPr>
          <w:rFonts w:ascii="Times New Roman" w:hAnsi="Times New Roman" w:cs="Times New Roman"/>
          <w:sz w:val="24"/>
          <w:szCs w:val="24"/>
        </w:rPr>
        <w:t xml:space="preserve"> </w:t>
      </w:r>
      <w:r>
        <w:rPr>
          <w:rFonts w:ascii="Times New Roman" w:hAnsi="Times New Roman" w:cs="Times New Roman"/>
          <w:sz w:val="24"/>
          <w:szCs w:val="24"/>
        </w:rPr>
        <w:t xml:space="preserve">No issue of duplicative coverage was raised by the IRS in briefing or at trial.  </w:t>
      </w:r>
    </w:p>
    <w:p w14:paraId="2AD02680" w14:textId="77777777" w:rsidR="00250577" w:rsidRDefault="00250577" w:rsidP="00F639D3">
      <w:pPr>
        <w:spacing w:after="0" w:line="240" w:lineRule="auto"/>
        <w:rPr>
          <w:rFonts w:ascii="Times New Roman" w:hAnsi="Times New Roman" w:cs="Times New Roman"/>
          <w:sz w:val="24"/>
          <w:szCs w:val="24"/>
        </w:rPr>
      </w:pPr>
    </w:p>
    <w:p w14:paraId="41D1FB9F" w14:textId="0BA65B97" w:rsidR="00250577" w:rsidRDefault="00250577" w:rsidP="00F639D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Further, the Court’s implication of mispricing created by the “excess” concept (whose source was </w:t>
      </w:r>
      <w:r w:rsidRPr="005844A3">
        <w:rPr>
          <w:rFonts w:ascii="Times New Roman" w:hAnsi="Times New Roman" w:cs="Times New Roman"/>
          <w:i/>
          <w:sz w:val="24"/>
          <w:szCs w:val="24"/>
        </w:rPr>
        <w:t>Avrahami</w:t>
      </w:r>
      <w:r>
        <w:rPr>
          <w:rFonts w:ascii="Times New Roman" w:hAnsi="Times New Roman" w:cs="Times New Roman"/>
          <w:sz w:val="24"/>
          <w:szCs w:val="24"/>
        </w:rPr>
        <w:t>) was contrary to the Court’s holding that “</w:t>
      </w:r>
      <w:r w:rsidRPr="00F639D3">
        <w:rPr>
          <w:rFonts w:ascii="Times New Roman" w:hAnsi="Times New Roman" w:cs="Times New Roman"/>
          <w:sz w:val="24"/>
          <w:szCs w:val="24"/>
        </w:rPr>
        <w:t>Capstone calculated Reserve</w:t>
      </w:r>
      <w:r>
        <w:rPr>
          <w:rFonts w:ascii="Times New Roman" w:hAnsi="Times New Roman" w:cs="Times New Roman"/>
          <w:sz w:val="24"/>
          <w:szCs w:val="24"/>
        </w:rPr>
        <w:t>’</w:t>
      </w:r>
      <w:r w:rsidRPr="00F639D3">
        <w:rPr>
          <w:rFonts w:ascii="Times New Roman" w:hAnsi="Times New Roman" w:cs="Times New Roman"/>
          <w:sz w:val="24"/>
          <w:szCs w:val="24"/>
        </w:rPr>
        <w:t>s</w:t>
      </w:r>
      <w:r>
        <w:rPr>
          <w:rFonts w:ascii="Times New Roman" w:hAnsi="Times New Roman" w:cs="Times New Roman"/>
          <w:sz w:val="24"/>
          <w:szCs w:val="24"/>
        </w:rPr>
        <w:t xml:space="preserve"> </w:t>
      </w:r>
      <w:r w:rsidRPr="00F639D3">
        <w:rPr>
          <w:rFonts w:ascii="Times New Roman" w:hAnsi="Times New Roman" w:cs="Times New Roman"/>
          <w:sz w:val="24"/>
          <w:szCs w:val="24"/>
        </w:rPr>
        <w:t>premiums using objective criteria and what appear to be actuarial methods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76"/>
      </w:r>
      <w:r>
        <w:rPr>
          <w:rFonts w:ascii="Times New Roman" w:hAnsi="Times New Roman" w:cs="Times New Roman"/>
          <w:sz w:val="24"/>
          <w:szCs w:val="24"/>
        </w:rPr>
        <w:t xml:space="preserve">  In raising this issue </w:t>
      </w:r>
      <w:r w:rsidRPr="00E365C2">
        <w:rPr>
          <w:rFonts w:ascii="Times New Roman" w:hAnsi="Times New Roman" w:cs="Times New Roman"/>
          <w:i/>
          <w:sz w:val="24"/>
          <w:szCs w:val="24"/>
        </w:rPr>
        <w:t>sua sponte</w:t>
      </w:r>
      <w:r>
        <w:rPr>
          <w:rFonts w:ascii="Times New Roman" w:hAnsi="Times New Roman" w:cs="Times New Roman"/>
          <w:sz w:val="24"/>
          <w:szCs w:val="24"/>
        </w:rPr>
        <w:t xml:space="preserve">, the Court misconstrued as a matter of law a common insurance provision that otherwise “excess” policies may “drop down” and serve as primary coverage in the absence of underlying coverage.  </w:t>
      </w:r>
    </w:p>
    <w:p w14:paraId="5F8BD18F" w14:textId="77777777" w:rsidR="00250577" w:rsidRDefault="00250577" w:rsidP="00F639D3">
      <w:pPr>
        <w:spacing w:after="0" w:line="240" w:lineRule="auto"/>
        <w:rPr>
          <w:rFonts w:ascii="Times New Roman" w:hAnsi="Times New Roman" w:cs="Times New Roman"/>
          <w:sz w:val="24"/>
          <w:szCs w:val="24"/>
        </w:rPr>
      </w:pPr>
    </w:p>
    <w:p w14:paraId="6CC09244" w14:textId="5820DD2B" w:rsidR="00250577" w:rsidRPr="0036725A" w:rsidRDefault="00250577" w:rsidP="00F639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creative interpretation occurred in the face of the </w:t>
      </w:r>
      <w:r w:rsidRPr="00F84E2F">
        <w:rPr>
          <w:rFonts w:ascii="Times New Roman" w:hAnsi="Times New Roman" w:cs="Times New Roman"/>
          <w:sz w:val="24"/>
          <w:szCs w:val="24"/>
        </w:rPr>
        <w:t>government’s sole expert witness admitt</w:t>
      </w:r>
      <w:r>
        <w:rPr>
          <w:rFonts w:ascii="Times New Roman" w:hAnsi="Times New Roman" w:cs="Times New Roman"/>
          <w:sz w:val="24"/>
          <w:szCs w:val="24"/>
        </w:rPr>
        <w:t xml:space="preserve">ing </w:t>
      </w:r>
      <w:r w:rsidRPr="00F84E2F">
        <w:rPr>
          <w:rFonts w:ascii="Times New Roman" w:hAnsi="Times New Roman" w:cs="Times New Roman"/>
          <w:sz w:val="24"/>
          <w:szCs w:val="24"/>
        </w:rPr>
        <w:t xml:space="preserve">that at least </w:t>
      </w:r>
      <w:r w:rsidRPr="0082564B">
        <w:rPr>
          <w:rFonts w:ascii="Times New Roman" w:hAnsi="Times New Roman" w:cs="Times New Roman"/>
          <w:sz w:val="24"/>
          <w:szCs w:val="24"/>
        </w:rPr>
        <w:t>11 of the 14</w:t>
      </w:r>
      <w:r w:rsidRPr="006C393B">
        <w:rPr>
          <w:rFonts w:ascii="Times New Roman" w:hAnsi="Times New Roman" w:cs="Times New Roman"/>
          <w:sz w:val="24"/>
          <w:szCs w:val="24"/>
        </w:rPr>
        <w:t xml:space="preserve"> policies</w:t>
      </w:r>
      <w:r w:rsidRPr="00F84E2F">
        <w:rPr>
          <w:rFonts w:ascii="Times New Roman" w:hAnsi="Times New Roman" w:cs="Times New Roman"/>
          <w:sz w:val="24"/>
          <w:szCs w:val="24"/>
        </w:rPr>
        <w:t xml:space="preserve"> of insurance were policies of insurance</w:t>
      </w:r>
      <w:r>
        <w:rPr>
          <w:rFonts w:ascii="Times New Roman" w:hAnsi="Times New Roman" w:cs="Times New Roman"/>
          <w:sz w:val="24"/>
          <w:szCs w:val="24"/>
        </w:rPr>
        <w:t xml:space="preserve"> (in whole or in part)</w:t>
      </w:r>
      <w:r w:rsidRPr="00F84E2F">
        <w:rPr>
          <w:rFonts w:ascii="Times New Roman" w:hAnsi="Times New Roman" w:cs="Times New Roman"/>
          <w:sz w:val="24"/>
          <w:szCs w:val="24"/>
        </w:rPr>
        <w:t xml:space="preserve">, subject only to the question of pricing </w:t>
      </w:r>
      <w:r w:rsidRPr="005844A3">
        <w:rPr>
          <w:rFonts w:ascii="Times New Roman" w:hAnsi="Times New Roman" w:cs="Times New Roman"/>
          <w:b/>
          <w:i/>
          <w:sz w:val="24"/>
          <w:szCs w:val="24"/>
        </w:rPr>
        <w:t>for which the government’s sole expert expressly acknowledged was not part of his opinion</w:t>
      </w:r>
      <w:r w:rsidRPr="00F84E2F">
        <w:rPr>
          <w:rFonts w:ascii="Times New Roman" w:hAnsi="Times New Roman" w:cs="Times New Roman"/>
          <w:sz w:val="24"/>
          <w:szCs w:val="24"/>
        </w:rPr>
        <w:t>.</w:t>
      </w:r>
      <w:r w:rsidRPr="00F84E2F">
        <w:rPr>
          <w:rStyle w:val="EndnoteReference"/>
          <w:rFonts w:ascii="Times New Roman" w:hAnsi="Times New Roman" w:cs="Times New Roman"/>
          <w:sz w:val="24"/>
          <w:szCs w:val="24"/>
        </w:rPr>
        <w:endnoteReference w:id="77"/>
      </w:r>
      <w:r w:rsidRPr="00F84E2F">
        <w:rPr>
          <w:rFonts w:ascii="Times New Roman" w:hAnsi="Times New Roman" w:cs="Times New Roman"/>
          <w:sz w:val="24"/>
          <w:szCs w:val="24"/>
        </w:rPr>
        <w:t xml:space="preserve">  The Court however rejected this admission in keeping with its shoehorning of </w:t>
      </w:r>
      <w:r w:rsidRPr="00F84E2F">
        <w:rPr>
          <w:rFonts w:ascii="Times New Roman" w:hAnsi="Times New Roman" w:cs="Times New Roman"/>
          <w:i/>
          <w:sz w:val="24"/>
          <w:szCs w:val="24"/>
        </w:rPr>
        <w:t>Reserve</w:t>
      </w:r>
      <w:r w:rsidRPr="00F84E2F">
        <w:rPr>
          <w:rFonts w:ascii="Times New Roman" w:hAnsi="Times New Roman" w:cs="Times New Roman"/>
          <w:sz w:val="24"/>
          <w:szCs w:val="24"/>
        </w:rPr>
        <w:t xml:space="preserve"> into the </w:t>
      </w:r>
      <w:r w:rsidRPr="00F84E2F">
        <w:rPr>
          <w:rFonts w:ascii="Times New Roman" w:hAnsi="Times New Roman" w:cs="Times New Roman"/>
          <w:i/>
          <w:sz w:val="24"/>
          <w:szCs w:val="24"/>
        </w:rPr>
        <w:t>Avrahami</w:t>
      </w:r>
      <w:r w:rsidRPr="00F84E2F">
        <w:rPr>
          <w:rFonts w:ascii="Times New Roman" w:hAnsi="Times New Roman" w:cs="Times New Roman"/>
          <w:sz w:val="24"/>
          <w:szCs w:val="24"/>
        </w:rPr>
        <w:t xml:space="preserve"> case</w:t>
      </w:r>
      <w:r>
        <w:rPr>
          <w:rFonts w:ascii="Times New Roman" w:hAnsi="Times New Roman" w:cs="Times New Roman"/>
          <w:sz w:val="24"/>
          <w:szCs w:val="24"/>
        </w:rPr>
        <w:t xml:space="preserve">, the facts notwithstanding.  </w:t>
      </w:r>
      <w:r w:rsidRPr="00F84E2F">
        <w:rPr>
          <w:rFonts w:ascii="Times New Roman" w:hAnsi="Times New Roman" w:cs="Times New Roman"/>
          <w:sz w:val="24"/>
          <w:szCs w:val="24"/>
        </w:rPr>
        <w:t>The Court seized on this non-contested issue – indeed the government admitted the very issue rejected by the Court</w:t>
      </w:r>
      <w:r>
        <w:rPr>
          <w:rFonts w:ascii="Times New Roman" w:hAnsi="Times New Roman" w:cs="Times New Roman"/>
          <w:sz w:val="24"/>
          <w:szCs w:val="24"/>
        </w:rPr>
        <w:t xml:space="preserve"> – </w:t>
      </w:r>
      <w:r w:rsidRPr="00F84E2F">
        <w:rPr>
          <w:rFonts w:ascii="Times New Roman" w:hAnsi="Times New Roman" w:cs="Times New Roman"/>
          <w:sz w:val="24"/>
          <w:szCs w:val="24"/>
        </w:rPr>
        <w:t xml:space="preserve">and made erroneous conclusions, </w:t>
      </w:r>
      <w:r>
        <w:rPr>
          <w:rFonts w:ascii="Times New Roman" w:hAnsi="Times New Roman" w:cs="Times New Roman"/>
          <w:sz w:val="24"/>
          <w:szCs w:val="24"/>
        </w:rPr>
        <w:t xml:space="preserve">without </w:t>
      </w:r>
      <w:r w:rsidRPr="00F84E2F">
        <w:rPr>
          <w:rFonts w:ascii="Times New Roman" w:hAnsi="Times New Roman" w:cs="Times New Roman"/>
          <w:sz w:val="24"/>
          <w:szCs w:val="24"/>
        </w:rPr>
        <w:t>explain</w:t>
      </w:r>
      <w:r>
        <w:rPr>
          <w:rFonts w:ascii="Times New Roman" w:hAnsi="Times New Roman" w:cs="Times New Roman"/>
          <w:sz w:val="24"/>
          <w:szCs w:val="24"/>
        </w:rPr>
        <w:t>ing</w:t>
      </w:r>
      <w:r w:rsidRPr="00F84E2F">
        <w:rPr>
          <w:rFonts w:ascii="Times New Roman" w:hAnsi="Times New Roman" w:cs="Times New Roman"/>
          <w:sz w:val="24"/>
          <w:szCs w:val="24"/>
        </w:rPr>
        <w:t xml:space="preserve"> the basis for its ruling.</w:t>
      </w:r>
    </w:p>
    <w:p w14:paraId="32B8331D" w14:textId="77777777" w:rsidR="00250577" w:rsidRPr="0036725A" w:rsidRDefault="00250577" w:rsidP="006818D8">
      <w:pPr>
        <w:spacing w:after="0" w:line="240" w:lineRule="auto"/>
        <w:rPr>
          <w:rFonts w:ascii="Times New Roman" w:hAnsi="Times New Roman" w:cs="Times New Roman"/>
          <w:sz w:val="24"/>
          <w:szCs w:val="24"/>
        </w:rPr>
      </w:pPr>
    </w:p>
    <w:p w14:paraId="5F8DB57A" w14:textId="3B2613D8" w:rsidR="00250577" w:rsidRPr="0036725A" w:rsidRDefault="00250577" w:rsidP="006818D8">
      <w:pPr>
        <w:spacing w:after="0" w:line="240" w:lineRule="auto"/>
        <w:rPr>
          <w:rFonts w:ascii="Times New Roman" w:hAnsi="Times New Roman" w:cs="Times New Roman"/>
          <w:b/>
          <w:sz w:val="24"/>
          <w:szCs w:val="24"/>
        </w:rPr>
      </w:pPr>
      <w:r w:rsidRPr="0036725A">
        <w:rPr>
          <w:rFonts w:ascii="Times New Roman" w:hAnsi="Times New Roman" w:cs="Times New Roman"/>
          <w:b/>
          <w:sz w:val="24"/>
          <w:szCs w:val="24"/>
        </w:rPr>
        <w:t xml:space="preserve">Reserve’s </w:t>
      </w:r>
      <w:r>
        <w:rPr>
          <w:rFonts w:ascii="Times New Roman" w:hAnsi="Times New Roman" w:cs="Times New Roman"/>
          <w:b/>
          <w:sz w:val="24"/>
          <w:szCs w:val="24"/>
        </w:rPr>
        <w:t xml:space="preserve">Administrative and </w:t>
      </w:r>
      <w:r w:rsidRPr="0036725A">
        <w:rPr>
          <w:rFonts w:ascii="Times New Roman" w:hAnsi="Times New Roman" w:cs="Times New Roman"/>
          <w:b/>
          <w:sz w:val="24"/>
          <w:szCs w:val="24"/>
        </w:rPr>
        <w:t>Professional Team</w:t>
      </w:r>
    </w:p>
    <w:p w14:paraId="5A77F045" w14:textId="77777777" w:rsidR="00250577" w:rsidRPr="0036725A" w:rsidRDefault="00250577" w:rsidP="006818D8">
      <w:pPr>
        <w:spacing w:after="0" w:line="240" w:lineRule="auto"/>
        <w:rPr>
          <w:rFonts w:ascii="Times New Roman" w:hAnsi="Times New Roman" w:cs="Times New Roman"/>
          <w:sz w:val="24"/>
          <w:szCs w:val="24"/>
        </w:rPr>
      </w:pPr>
    </w:p>
    <w:p w14:paraId="11EB2DE1" w14:textId="6811A147" w:rsidR="00250577" w:rsidRDefault="00250577" w:rsidP="00D30C10">
      <w:pPr>
        <w:spacing w:after="0" w:line="240" w:lineRule="auto"/>
        <w:rPr>
          <w:rFonts w:ascii="Times New Roman" w:hAnsi="Times New Roman" w:cs="Times New Roman"/>
          <w:sz w:val="24"/>
          <w:szCs w:val="24"/>
        </w:rPr>
      </w:pPr>
      <w:r>
        <w:rPr>
          <w:rFonts w:ascii="Times New Roman" w:hAnsi="Times New Roman" w:cs="Times New Roman"/>
          <w:sz w:val="24"/>
          <w:szCs w:val="24"/>
        </w:rPr>
        <w:t>Reserve operated its captive insurer drawing on an experienced team.  Zumbaum testified that he relied on his advisors to carry out Reserve’s functions.</w:t>
      </w:r>
      <w:r>
        <w:rPr>
          <w:rStyle w:val="EndnoteReference"/>
          <w:rFonts w:ascii="Times New Roman" w:hAnsi="Times New Roman" w:cs="Times New Roman"/>
          <w:sz w:val="24"/>
          <w:szCs w:val="24"/>
        </w:rPr>
        <w:endnoteReference w:id="78"/>
      </w:r>
      <w:r>
        <w:rPr>
          <w:rFonts w:ascii="Times New Roman" w:hAnsi="Times New Roman" w:cs="Times New Roman"/>
          <w:sz w:val="24"/>
          <w:szCs w:val="24"/>
        </w:rPr>
        <w:t xml:space="preserve">  </w:t>
      </w:r>
      <w:r w:rsidRPr="0036725A">
        <w:rPr>
          <w:rFonts w:ascii="Times New Roman" w:hAnsi="Times New Roman" w:cs="Times New Roman"/>
          <w:sz w:val="24"/>
          <w:szCs w:val="24"/>
        </w:rPr>
        <w:t xml:space="preserve">Each of </w:t>
      </w:r>
      <w:r>
        <w:rPr>
          <w:rFonts w:ascii="Times New Roman" w:hAnsi="Times New Roman" w:cs="Times New Roman"/>
          <w:sz w:val="24"/>
          <w:szCs w:val="24"/>
        </w:rPr>
        <w:t xml:space="preserve">Reserve’s </w:t>
      </w:r>
      <w:r w:rsidRPr="0036725A">
        <w:rPr>
          <w:rFonts w:ascii="Times New Roman" w:hAnsi="Times New Roman" w:cs="Times New Roman"/>
          <w:sz w:val="24"/>
          <w:szCs w:val="24"/>
        </w:rPr>
        <w:t xml:space="preserve">direct written policies </w:t>
      </w:r>
      <w:r>
        <w:rPr>
          <w:rFonts w:ascii="Times New Roman" w:hAnsi="Times New Roman" w:cs="Times New Roman"/>
          <w:sz w:val="24"/>
          <w:szCs w:val="24"/>
        </w:rPr>
        <w:t xml:space="preserve">was </w:t>
      </w:r>
      <w:r w:rsidRPr="0036725A">
        <w:rPr>
          <w:rFonts w:ascii="Times New Roman" w:hAnsi="Times New Roman" w:cs="Times New Roman"/>
          <w:sz w:val="24"/>
          <w:szCs w:val="24"/>
        </w:rPr>
        <w:t xml:space="preserve">selected and underwritten </w:t>
      </w:r>
      <w:r>
        <w:rPr>
          <w:rFonts w:ascii="Times New Roman" w:hAnsi="Times New Roman" w:cs="Times New Roman"/>
          <w:sz w:val="24"/>
          <w:szCs w:val="24"/>
        </w:rPr>
        <w:t xml:space="preserve">by it based on input from </w:t>
      </w:r>
      <w:r w:rsidRPr="0036725A">
        <w:rPr>
          <w:rFonts w:ascii="Times New Roman" w:hAnsi="Times New Roman" w:cs="Times New Roman"/>
          <w:sz w:val="24"/>
          <w:szCs w:val="24"/>
        </w:rPr>
        <w:t>a</w:t>
      </w:r>
      <w:r>
        <w:rPr>
          <w:rFonts w:ascii="Times New Roman" w:hAnsi="Times New Roman" w:cs="Times New Roman"/>
          <w:sz w:val="24"/>
          <w:szCs w:val="24"/>
        </w:rPr>
        <w:t>n</w:t>
      </w:r>
      <w:r w:rsidRPr="0036725A">
        <w:rPr>
          <w:rFonts w:ascii="Times New Roman" w:hAnsi="Times New Roman" w:cs="Times New Roman"/>
          <w:sz w:val="24"/>
          <w:szCs w:val="24"/>
        </w:rPr>
        <w:t xml:space="preserve"> on-site </w:t>
      </w:r>
      <w:r>
        <w:rPr>
          <w:rFonts w:ascii="Times New Roman" w:hAnsi="Times New Roman" w:cs="Times New Roman"/>
          <w:sz w:val="24"/>
          <w:szCs w:val="24"/>
        </w:rPr>
        <w:t xml:space="preserve">review </w:t>
      </w:r>
      <w:r w:rsidRPr="0036725A">
        <w:rPr>
          <w:rFonts w:ascii="Times New Roman" w:hAnsi="Times New Roman" w:cs="Times New Roman"/>
          <w:sz w:val="24"/>
          <w:szCs w:val="24"/>
        </w:rPr>
        <w:t xml:space="preserve">of the insureds’ facilities </w:t>
      </w:r>
      <w:r>
        <w:rPr>
          <w:rFonts w:ascii="Times New Roman" w:hAnsi="Times New Roman" w:cs="Times New Roman"/>
          <w:sz w:val="24"/>
          <w:szCs w:val="24"/>
        </w:rPr>
        <w:t xml:space="preserve">by a CPCU, with Willis co-authoring the feasibility study, examined against a backdrop of the insureds’ commercial coverages and an examination of the insureds’ business operations conducted </w:t>
      </w:r>
      <w:r w:rsidRPr="0036725A">
        <w:rPr>
          <w:rFonts w:ascii="Times New Roman" w:hAnsi="Times New Roman" w:cs="Times New Roman"/>
          <w:sz w:val="24"/>
          <w:szCs w:val="24"/>
        </w:rPr>
        <w:t>by credentialed insurance professionals working as members of a professional captive management team assembled by Reserve’s captive management firm, Capstone Associated Services, Ltd.</w:t>
      </w:r>
      <w:r>
        <w:rPr>
          <w:rFonts w:ascii="Times New Roman" w:hAnsi="Times New Roman" w:cs="Times New Roman"/>
          <w:sz w:val="24"/>
          <w:szCs w:val="24"/>
        </w:rPr>
        <w:t xml:space="preserve"> (“Capstone”).  This is in addition to the Peak insureds’ testimony of further input on policies from its commercial insurance advisors.  Multiple persons, including CPCUs, actuaries, CPAs, and other insurance professionals were involved in advising Reserve throughout its life.</w:t>
      </w:r>
      <w:r>
        <w:rPr>
          <w:rStyle w:val="EndnoteReference"/>
          <w:rFonts w:ascii="Times New Roman" w:hAnsi="Times New Roman" w:cs="Times New Roman"/>
          <w:sz w:val="24"/>
          <w:szCs w:val="24"/>
        </w:rPr>
        <w:endnoteReference w:id="79"/>
      </w:r>
      <w:r>
        <w:rPr>
          <w:rFonts w:ascii="Times New Roman" w:hAnsi="Times New Roman" w:cs="Times New Roman"/>
          <w:sz w:val="24"/>
          <w:szCs w:val="24"/>
        </w:rPr>
        <w:t xml:space="preserve">  However, the Court concluded that this was somehow improper because Reserve’s president did not appear to know enough about Reserve’s insurance matters even when he drew from a broad team of advisors.</w:t>
      </w:r>
      <w:r>
        <w:rPr>
          <w:rStyle w:val="EndnoteReference"/>
          <w:rFonts w:ascii="Times New Roman" w:hAnsi="Times New Roman" w:cs="Times New Roman"/>
          <w:sz w:val="24"/>
          <w:szCs w:val="24"/>
        </w:rPr>
        <w:endnoteReference w:id="80"/>
      </w:r>
    </w:p>
    <w:p w14:paraId="155FABB0" w14:textId="77777777" w:rsidR="00250577" w:rsidRDefault="00250577" w:rsidP="00D30C10">
      <w:pPr>
        <w:spacing w:after="0" w:line="240" w:lineRule="auto"/>
        <w:rPr>
          <w:rFonts w:ascii="Times New Roman" w:hAnsi="Times New Roman" w:cs="Times New Roman"/>
          <w:sz w:val="24"/>
          <w:szCs w:val="24"/>
        </w:rPr>
      </w:pPr>
    </w:p>
    <w:p w14:paraId="464976EF" w14:textId="1F3F5ECD" w:rsidR="00250577" w:rsidRDefault="00250577" w:rsidP="00D30C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Despite the Court’s view to the contrary, the business principal isn’t the person who is responsible for independently operating the arrangement.  The Peak insureds formed a team – including Capstone, CPAs, attorneys, actuaries, commercial insurance brokers, and regulators – to provide a range of </w:t>
      </w:r>
      <w:r w:rsidRPr="0036725A">
        <w:rPr>
          <w:rFonts w:ascii="Times New Roman" w:hAnsi="Times New Roman" w:cs="Times New Roman"/>
          <w:sz w:val="24"/>
          <w:szCs w:val="24"/>
        </w:rPr>
        <w:t xml:space="preserve">captive services </w:t>
      </w:r>
      <w:r>
        <w:rPr>
          <w:rFonts w:ascii="Times New Roman" w:hAnsi="Times New Roman" w:cs="Times New Roman"/>
          <w:sz w:val="24"/>
          <w:szCs w:val="24"/>
        </w:rPr>
        <w:t xml:space="preserve">supporting the insurance arrangement.  The Court criticized the owner of the </w:t>
      </w:r>
      <w:r w:rsidRPr="00652F42">
        <w:rPr>
          <w:rFonts w:ascii="Times New Roman" w:hAnsi="Times New Roman" w:cs="Times New Roman"/>
          <w:sz w:val="24"/>
          <w:szCs w:val="24"/>
        </w:rPr>
        <w:t>insureds</w:t>
      </w:r>
      <w:r>
        <w:rPr>
          <w:rFonts w:ascii="Times New Roman" w:hAnsi="Times New Roman" w:cs="Times New Roman"/>
          <w:sz w:val="24"/>
          <w:szCs w:val="24"/>
        </w:rPr>
        <w:t xml:space="preserve"> for not undertaking the work on its own and for not performing sufficient “due diligence,” brushing aside that Reserve engaged its captive advisory team to do just that with respect to both the underwriting of its direct policies and Reserve’s participation in the pooling arrangement that was administered by PoolRe.</w:t>
      </w:r>
      <w:r>
        <w:rPr>
          <w:rStyle w:val="EndnoteReference"/>
          <w:rFonts w:ascii="Times New Roman" w:hAnsi="Times New Roman" w:cs="Times New Roman"/>
          <w:sz w:val="24"/>
          <w:szCs w:val="24"/>
        </w:rPr>
        <w:endnoteReference w:id="81"/>
      </w:r>
      <w:r>
        <w:rPr>
          <w:rFonts w:ascii="Times New Roman" w:hAnsi="Times New Roman" w:cs="Times New Roman"/>
          <w:sz w:val="24"/>
          <w:szCs w:val="24"/>
        </w:rPr>
        <w:t xml:space="preserve">  Despite the Court’s reluctance to analyze the evidence before it, the joint feasibility study issued by </w:t>
      </w:r>
      <w:hyperlink r:id="rId13" w:history="1">
        <w:r w:rsidRPr="009B275C">
          <w:rPr>
            <w:rStyle w:val="Hyperlink"/>
            <w:rFonts w:ascii="Times New Roman" w:hAnsi="Times New Roman" w:cs="Times New Roman"/>
            <w:sz w:val="24"/>
            <w:szCs w:val="24"/>
          </w:rPr>
          <w:t>Willis</w:t>
        </w:r>
      </w:hyperlink>
      <w:r>
        <w:rPr>
          <w:rFonts w:ascii="Times New Roman" w:hAnsi="Times New Roman" w:cs="Times New Roman"/>
          <w:sz w:val="24"/>
          <w:szCs w:val="24"/>
        </w:rPr>
        <w:t xml:space="preserve"> (the world’s third largest insurance and risk management organization) and Capstone to Peak, as a prospective insured, stated as follows:</w:t>
      </w:r>
    </w:p>
    <w:p w14:paraId="0B648FEF" w14:textId="77777777" w:rsidR="00250577" w:rsidRDefault="00250577" w:rsidP="00D30C10">
      <w:pPr>
        <w:spacing w:after="0" w:line="240" w:lineRule="auto"/>
        <w:rPr>
          <w:rFonts w:ascii="Times New Roman" w:hAnsi="Times New Roman" w:cs="Times New Roman"/>
          <w:sz w:val="24"/>
          <w:szCs w:val="24"/>
        </w:rPr>
      </w:pPr>
    </w:p>
    <w:p w14:paraId="2BF286E3" w14:textId="77777777" w:rsidR="00250577" w:rsidRPr="00B72311" w:rsidRDefault="00250577" w:rsidP="00545D24">
      <w:pPr>
        <w:spacing w:after="0" w:line="240" w:lineRule="auto"/>
        <w:ind w:firstLine="720"/>
        <w:rPr>
          <w:rFonts w:ascii="Times New Roman" w:hAnsi="Times New Roman" w:cs="Times New Roman"/>
          <w:b/>
          <w:i/>
          <w:sz w:val="24"/>
          <w:szCs w:val="24"/>
        </w:rPr>
      </w:pPr>
      <w:r w:rsidRPr="00B72311">
        <w:rPr>
          <w:rFonts w:ascii="Times New Roman" w:hAnsi="Times New Roman" w:cs="Times New Roman"/>
          <w:b/>
          <w:i/>
          <w:sz w:val="24"/>
          <w:szCs w:val="24"/>
        </w:rPr>
        <w:t>“The captive</w:t>
      </w:r>
      <w:r>
        <w:rPr>
          <w:rFonts w:ascii="Times New Roman" w:hAnsi="Times New Roman" w:cs="Times New Roman"/>
          <w:b/>
          <w:i/>
          <w:sz w:val="24"/>
          <w:szCs w:val="24"/>
        </w:rPr>
        <w:t>’</w:t>
      </w:r>
      <w:r w:rsidRPr="00B72311">
        <w:rPr>
          <w:rFonts w:ascii="Times New Roman" w:hAnsi="Times New Roman" w:cs="Times New Roman"/>
          <w:b/>
          <w:i/>
          <w:sz w:val="24"/>
          <w:szCs w:val="24"/>
        </w:rPr>
        <w:t>s risk diversification efforts will be handled predominantly through</w:t>
      </w:r>
    </w:p>
    <w:p w14:paraId="122D7BBF" w14:textId="77777777" w:rsidR="00250577" w:rsidRPr="00B72311" w:rsidRDefault="00250577" w:rsidP="00B72311">
      <w:pPr>
        <w:spacing w:after="0" w:line="240" w:lineRule="auto"/>
        <w:ind w:left="720"/>
        <w:rPr>
          <w:rFonts w:ascii="Times New Roman" w:hAnsi="Times New Roman" w:cs="Times New Roman"/>
          <w:sz w:val="24"/>
          <w:szCs w:val="24"/>
        </w:rPr>
      </w:pPr>
      <w:r w:rsidRPr="00B72311">
        <w:rPr>
          <w:rFonts w:ascii="Times New Roman" w:hAnsi="Times New Roman" w:cs="Times New Roman"/>
          <w:b/>
          <w:i/>
          <w:sz w:val="24"/>
          <w:szCs w:val="24"/>
        </w:rPr>
        <w:lastRenderedPageBreak/>
        <w:t>coverage design, through participation in an insurance pooling of similar policies among unrelated companies and through the reinsurance assumption of unrelated business, most of which is expected to be co-arranged and co-administered by Capstone. In addition, the proposed insured expects Capstone to help ensure improved service over conventional insurers, increase control of its risk management program, and to enhance its overall risk management perspective.”</w:t>
      </w:r>
      <w:r w:rsidRPr="001A493A">
        <w:rPr>
          <w:rStyle w:val="EndnoteReference"/>
          <w:rFonts w:ascii="Times New Roman" w:hAnsi="Times New Roman" w:cs="Times New Roman"/>
          <w:sz w:val="24"/>
          <w:szCs w:val="24"/>
        </w:rPr>
        <w:endnoteReference w:id="82"/>
      </w:r>
    </w:p>
    <w:p w14:paraId="75F11A96" w14:textId="77777777" w:rsidR="00250577" w:rsidRDefault="00250577" w:rsidP="00D30C10">
      <w:pPr>
        <w:spacing w:after="0" w:line="240" w:lineRule="auto"/>
        <w:rPr>
          <w:rFonts w:ascii="Times New Roman" w:hAnsi="Times New Roman" w:cs="Times New Roman"/>
          <w:sz w:val="24"/>
          <w:szCs w:val="24"/>
        </w:rPr>
      </w:pPr>
    </w:p>
    <w:p w14:paraId="3D95E248" w14:textId="6EB889E8" w:rsidR="00250577" w:rsidRDefault="00250577" w:rsidP="00D30C10">
      <w:pPr>
        <w:spacing w:after="0" w:line="240" w:lineRule="auto"/>
        <w:rPr>
          <w:rFonts w:ascii="Times New Roman" w:hAnsi="Times New Roman" w:cs="Times New Roman"/>
          <w:sz w:val="24"/>
          <w:szCs w:val="24"/>
        </w:rPr>
      </w:pPr>
      <w:r>
        <w:rPr>
          <w:rFonts w:ascii="Times New Roman" w:hAnsi="Times New Roman" w:cs="Times New Roman"/>
          <w:sz w:val="24"/>
          <w:szCs w:val="24"/>
        </w:rPr>
        <w:t>This is exactly what then happened.  However, the Court brushed aside Reserve’s engaging a professional team and its reliance on such. The Court’s reasoning is similar to requiring a hospital patient to fully articulate his doctor’s medical treatment as a condition of recognizing a medical expense deduction or claiming an insurance reimbursement.  By analogy, if the patient can’t satisfactorily explain his treatment plan to the IRS, it’s not insurable.</w:t>
      </w:r>
    </w:p>
    <w:p w14:paraId="3A16AC50" w14:textId="77777777" w:rsidR="00250577" w:rsidRDefault="00250577" w:rsidP="00D30C10">
      <w:pPr>
        <w:spacing w:after="0" w:line="240" w:lineRule="auto"/>
        <w:rPr>
          <w:rFonts w:ascii="Times New Roman" w:hAnsi="Times New Roman" w:cs="Times New Roman"/>
          <w:sz w:val="24"/>
          <w:szCs w:val="24"/>
        </w:rPr>
      </w:pPr>
    </w:p>
    <w:p w14:paraId="0967C661" w14:textId="2C5E2FC7" w:rsidR="00250577" w:rsidRDefault="00250577" w:rsidP="00D30C10">
      <w:pPr>
        <w:spacing w:after="0" w:line="240" w:lineRule="auto"/>
        <w:rPr>
          <w:rFonts w:ascii="Times New Roman" w:hAnsi="Times New Roman" w:cs="Times New Roman"/>
          <w:sz w:val="24"/>
          <w:szCs w:val="24"/>
        </w:rPr>
      </w:pPr>
      <w:r w:rsidRPr="0036725A">
        <w:rPr>
          <w:rFonts w:ascii="Times New Roman" w:hAnsi="Times New Roman" w:cs="Times New Roman"/>
          <w:sz w:val="24"/>
          <w:szCs w:val="24"/>
        </w:rPr>
        <w:t>The collect</w:t>
      </w:r>
      <w:r>
        <w:rPr>
          <w:rFonts w:ascii="Times New Roman" w:hAnsi="Times New Roman" w:cs="Times New Roman"/>
          <w:sz w:val="24"/>
          <w:szCs w:val="24"/>
        </w:rPr>
        <w:t>ion of information</w:t>
      </w:r>
      <w:r w:rsidRPr="0036725A">
        <w:rPr>
          <w:rFonts w:ascii="Times New Roman" w:hAnsi="Times New Roman" w:cs="Times New Roman"/>
          <w:sz w:val="24"/>
          <w:szCs w:val="24"/>
        </w:rPr>
        <w:t xml:space="preserve"> in the on-site examination of the insureds </w:t>
      </w:r>
      <w:r>
        <w:rPr>
          <w:rFonts w:ascii="Times New Roman" w:hAnsi="Times New Roman" w:cs="Times New Roman"/>
          <w:sz w:val="24"/>
          <w:szCs w:val="24"/>
        </w:rPr>
        <w:t xml:space="preserve">was completed in advance of the formation of Reserve and in advance of Reserve issuing </w:t>
      </w:r>
      <w:r w:rsidRPr="003F0D4E">
        <w:rPr>
          <w:rFonts w:ascii="Times New Roman" w:hAnsi="Times New Roman" w:cs="Times New Roman"/>
          <w:sz w:val="24"/>
          <w:szCs w:val="24"/>
        </w:rPr>
        <w:t>polic</w:t>
      </w:r>
      <w:r>
        <w:rPr>
          <w:rFonts w:ascii="Times New Roman" w:hAnsi="Times New Roman" w:cs="Times New Roman"/>
          <w:sz w:val="24"/>
          <w:szCs w:val="24"/>
        </w:rPr>
        <w:t>ies</w:t>
      </w:r>
      <w:r w:rsidRPr="003F0D4E">
        <w:rPr>
          <w:rFonts w:ascii="Times New Roman" w:hAnsi="Times New Roman" w:cs="Times New Roman"/>
          <w:sz w:val="24"/>
          <w:szCs w:val="24"/>
        </w:rPr>
        <w:t>.</w:t>
      </w:r>
      <w:r>
        <w:rPr>
          <w:rStyle w:val="EndnoteReference"/>
          <w:rFonts w:ascii="Times New Roman" w:hAnsi="Times New Roman" w:cs="Times New Roman"/>
          <w:sz w:val="24"/>
          <w:szCs w:val="24"/>
        </w:rPr>
        <w:endnoteReference w:id="83"/>
      </w:r>
      <w:r>
        <w:rPr>
          <w:rFonts w:ascii="Times New Roman" w:hAnsi="Times New Roman" w:cs="Times New Roman"/>
          <w:sz w:val="24"/>
          <w:szCs w:val="24"/>
        </w:rPr>
        <w:t xml:space="preserve">  </w:t>
      </w:r>
      <w:r w:rsidRPr="003F0D4E">
        <w:rPr>
          <w:rFonts w:ascii="Times New Roman" w:hAnsi="Times New Roman" w:cs="Times New Roman"/>
          <w:sz w:val="24"/>
          <w:szCs w:val="24"/>
        </w:rPr>
        <w:t xml:space="preserve">The on-site examination culminated in the issuance of a final, detailed written feasibility study that was coauthored and jointly issued to the insureds by both </w:t>
      </w:r>
      <w:hyperlink r:id="rId14" w:history="1">
        <w:r w:rsidRPr="008B47E9">
          <w:rPr>
            <w:rStyle w:val="Hyperlink"/>
            <w:rFonts w:ascii="Times New Roman" w:hAnsi="Times New Roman" w:cs="Times New Roman"/>
            <w:sz w:val="24"/>
            <w:szCs w:val="24"/>
          </w:rPr>
          <w:t>Capstone</w:t>
        </w:r>
      </w:hyperlink>
      <w:r w:rsidRPr="003F0D4E">
        <w:rPr>
          <w:rFonts w:ascii="Times New Roman" w:hAnsi="Times New Roman" w:cs="Times New Roman"/>
          <w:sz w:val="24"/>
          <w:szCs w:val="24"/>
        </w:rPr>
        <w:t xml:space="preserve"> and </w:t>
      </w:r>
      <w:hyperlink r:id="rId15" w:history="1">
        <w:r w:rsidRPr="008B47E9">
          <w:rPr>
            <w:rStyle w:val="Hyperlink"/>
            <w:rFonts w:ascii="Times New Roman" w:hAnsi="Times New Roman" w:cs="Times New Roman"/>
            <w:sz w:val="24"/>
            <w:szCs w:val="24"/>
          </w:rPr>
          <w:t>Willis</w:t>
        </w:r>
      </w:hyperlink>
      <w:r>
        <w:rPr>
          <w:rFonts w:ascii="Times New Roman" w:hAnsi="Times New Roman" w:cs="Times New Roman"/>
          <w:sz w:val="24"/>
          <w:szCs w:val="24"/>
        </w:rPr>
        <w:t>.</w:t>
      </w:r>
      <w:r w:rsidRPr="003F0D4E">
        <w:rPr>
          <w:rStyle w:val="EndnoteReference"/>
          <w:rFonts w:ascii="Times New Roman" w:hAnsi="Times New Roman" w:cs="Times New Roman"/>
          <w:sz w:val="24"/>
          <w:szCs w:val="24"/>
        </w:rPr>
        <w:endnoteReference w:id="84"/>
      </w:r>
      <w:r w:rsidRPr="003F0D4E">
        <w:rPr>
          <w:rFonts w:ascii="Times New Roman" w:hAnsi="Times New Roman" w:cs="Times New Roman"/>
          <w:sz w:val="24"/>
          <w:szCs w:val="24"/>
        </w:rPr>
        <w:t xml:space="preserve">  The Court was critical of the fact that</w:t>
      </w:r>
      <w:r>
        <w:rPr>
          <w:rFonts w:ascii="Times New Roman" w:hAnsi="Times New Roman" w:cs="Times New Roman"/>
          <w:sz w:val="24"/>
          <w:szCs w:val="24"/>
        </w:rPr>
        <w:t xml:space="preserve"> the final version of the feasibility study was not issued until after the captive was formed, although the onsite examination </w:t>
      </w:r>
      <w:r w:rsidRPr="00D5467D">
        <w:rPr>
          <w:rFonts w:ascii="Times New Roman" w:hAnsi="Times New Roman" w:cs="Times New Roman"/>
          <w:sz w:val="24"/>
          <w:szCs w:val="24"/>
        </w:rPr>
        <w:t xml:space="preserve">was conducted in advance of </w:t>
      </w:r>
      <w:r>
        <w:rPr>
          <w:rFonts w:ascii="Times New Roman" w:hAnsi="Times New Roman" w:cs="Times New Roman"/>
          <w:sz w:val="24"/>
          <w:szCs w:val="24"/>
        </w:rPr>
        <w:t xml:space="preserve">Reserve’s </w:t>
      </w:r>
      <w:r w:rsidRPr="00D5467D">
        <w:rPr>
          <w:rFonts w:ascii="Times New Roman" w:hAnsi="Times New Roman" w:cs="Times New Roman"/>
          <w:sz w:val="24"/>
          <w:szCs w:val="24"/>
        </w:rPr>
        <w:t xml:space="preserve">formation and </w:t>
      </w:r>
      <w:r>
        <w:rPr>
          <w:rFonts w:ascii="Times New Roman" w:hAnsi="Times New Roman" w:cs="Times New Roman"/>
          <w:sz w:val="24"/>
          <w:szCs w:val="24"/>
        </w:rPr>
        <w:t>in advance of Reserve issuing policies (indeed in advance of Reserve’s regulatory application for formation).</w:t>
      </w:r>
      <w:r w:rsidRPr="00D5467D">
        <w:rPr>
          <w:rStyle w:val="EndnoteReference"/>
          <w:rFonts w:ascii="Times New Roman" w:hAnsi="Times New Roman" w:cs="Times New Roman"/>
          <w:sz w:val="24"/>
          <w:szCs w:val="24"/>
        </w:rPr>
        <w:endnoteReference w:id="85"/>
      </w:r>
      <w:r>
        <w:rPr>
          <w:rFonts w:ascii="Times New Roman" w:hAnsi="Times New Roman" w:cs="Times New Roman"/>
          <w:sz w:val="24"/>
          <w:szCs w:val="24"/>
        </w:rPr>
        <w:t xml:space="preserve">  The uncontroverted evidence </w:t>
      </w:r>
      <w:r w:rsidRPr="00D5467D">
        <w:rPr>
          <w:rFonts w:ascii="Times New Roman" w:hAnsi="Times New Roman" w:cs="Times New Roman"/>
          <w:sz w:val="24"/>
          <w:szCs w:val="24"/>
        </w:rPr>
        <w:t xml:space="preserve">at trial established that a draft of the feasibility study was circulated </w:t>
      </w:r>
      <w:r>
        <w:rPr>
          <w:rFonts w:ascii="Times New Roman" w:hAnsi="Times New Roman" w:cs="Times New Roman"/>
          <w:sz w:val="24"/>
          <w:szCs w:val="24"/>
        </w:rPr>
        <w:t xml:space="preserve">to the insureds and Reserve’s proposed owners </w:t>
      </w:r>
      <w:r w:rsidRPr="00D5467D">
        <w:rPr>
          <w:rFonts w:ascii="Times New Roman" w:hAnsi="Times New Roman" w:cs="Times New Roman"/>
          <w:sz w:val="24"/>
          <w:szCs w:val="24"/>
        </w:rPr>
        <w:t>before the captive was formed</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86"/>
      </w:r>
      <w:r>
        <w:rPr>
          <w:rFonts w:ascii="Times New Roman" w:hAnsi="Times New Roman" w:cs="Times New Roman"/>
          <w:sz w:val="24"/>
          <w:szCs w:val="24"/>
        </w:rPr>
        <w:t xml:space="preserve"> which was relied upon by the participants in Reserve’s insurance transactions.  Despite the Opinion’s complaints, at trial, the government never made any argument that the feasibility study was either insufficient or untimely.  Nonetheless, the Court misconstrued the uncontroverted testimony and imposed a creative timeline, implying in the Opinion (contrary to the uncontested evidence before it) that the information from the feasibility study was not in the hands of the Peak prospective insureds owners until well after Reserve’s formation.</w:t>
      </w:r>
      <w:r>
        <w:rPr>
          <w:rStyle w:val="EndnoteReference"/>
          <w:rFonts w:ascii="Times New Roman" w:hAnsi="Times New Roman" w:cs="Times New Roman"/>
          <w:sz w:val="24"/>
          <w:szCs w:val="24"/>
        </w:rPr>
        <w:endnoteReference w:id="87"/>
      </w:r>
    </w:p>
    <w:p w14:paraId="3BA87D1B" w14:textId="77777777" w:rsidR="00250577" w:rsidRDefault="00250577" w:rsidP="00D30C10">
      <w:pPr>
        <w:spacing w:after="0" w:line="240" w:lineRule="auto"/>
        <w:rPr>
          <w:rFonts w:ascii="Times New Roman" w:hAnsi="Times New Roman" w:cs="Times New Roman"/>
          <w:sz w:val="24"/>
          <w:szCs w:val="24"/>
        </w:rPr>
      </w:pPr>
    </w:p>
    <w:p w14:paraId="64005BBA" w14:textId="33782E57" w:rsidR="00250577" w:rsidRDefault="00250577" w:rsidP="00D30C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Court was also </w:t>
      </w:r>
      <w:r w:rsidRPr="00D5467D">
        <w:rPr>
          <w:rFonts w:ascii="Times New Roman" w:hAnsi="Times New Roman" w:cs="Times New Roman"/>
          <w:sz w:val="24"/>
          <w:szCs w:val="24"/>
        </w:rPr>
        <w:t>unexplainedly critical of the fact that Reserve’s insurance underwriters continued to</w:t>
      </w:r>
      <w:r>
        <w:rPr>
          <w:rFonts w:ascii="Times New Roman" w:hAnsi="Times New Roman" w:cs="Times New Roman"/>
          <w:sz w:val="24"/>
          <w:szCs w:val="24"/>
        </w:rPr>
        <w:t xml:space="preserve"> maintain their files with updated financial, insurance and operational information on the insureds</w:t>
      </w:r>
      <w:r w:rsidRPr="00E433E5">
        <w:rPr>
          <w:rFonts w:ascii="Times New Roman" w:hAnsi="Times New Roman" w:cs="Times New Roman"/>
          <w:sz w:val="24"/>
          <w:szCs w:val="24"/>
        </w:rPr>
        <w:t xml:space="preserve"> </w:t>
      </w:r>
      <w:r>
        <w:rPr>
          <w:rFonts w:ascii="Times New Roman" w:hAnsi="Times New Roman" w:cs="Times New Roman"/>
          <w:sz w:val="24"/>
          <w:szCs w:val="24"/>
        </w:rPr>
        <w:t>in support of Reserve’s ongoing underwriting activities in later years, wrongly implying that Reserve did not possess such information prior to Reserve’s 2008 formation.</w:t>
      </w:r>
      <w:r>
        <w:rPr>
          <w:rStyle w:val="EndnoteReference"/>
          <w:rFonts w:ascii="Times New Roman" w:hAnsi="Times New Roman" w:cs="Times New Roman"/>
          <w:sz w:val="24"/>
          <w:szCs w:val="24"/>
        </w:rPr>
        <w:endnoteReference w:id="88"/>
      </w:r>
      <w:r>
        <w:rPr>
          <w:rFonts w:ascii="Times New Roman" w:hAnsi="Times New Roman" w:cs="Times New Roman"/>
          <w:sz w:val="24"/>
          <w:szCs w:val="24"/>
        </w:rPr>
        <w:t xml:space="preserve">  </w:t>
      </w:r>
    </w:p>
    <w:p w14:paraId="32892229" w14:textId="77777777" w:rsidR="00250577" w:rsidRDefault="00250577" w:rsidP="00D30C10">
      <w:pPr>
        <w:spacing w:after="0" w:line="240" w:lineRule="auto"/>
        <w:rPr>
          <w:rFonts w:ascii="Times New Roman" w:hAnsi="Times New Roman" w:cs="Times New Roman"/>
          <w:sz w:val="24"/>
          <w:szCs w:val="24"/>
        </w:rPr>
      </w:pPr>
    </w:p>
    <w:p w14:paraId="3FE139BA" w14:textId="383F5172" w:rsidR="00250577" w:rsidRDefault="00250577" w:rsidP="00D30C10">
      <w:pPr>
        <w:spacing w:after="0" w:line="240" w:lineRule="auto"/>
        <w:rPr>
          <w:rFonts w:ascii="Times New Roman" w:hAnsi="Times New Roman" w:cs="Times New Roman"/>
          <w:sz w:val="24"/>
          <w:szCs w:val="24"/>
        </w:rPr>
      </w:pPr>
      <w:r>
        <w:rPr>
          <w:rFonts w:ascii="Times New Roman" w:hAnsi="Times New Roman" w:cs="Times New Roman"/>
          <w:sz w:val="24"/>
          <w:szCs w:val="24"/>
        </w:rPr>
        <w:t>As discussed below, t</w:t>
      </w:r>
      <w:r w:rsidRPr="0036725A">
        <w:rPr>
          <w:rFonts w:ascii="Times New Roman" w:hAnsi="Times New Roman" w:cs="Times New Roman"/>
          <w:sz w:val="24"/>
          <w:szCs w:val="24"/>
        </w:rPr>
        <w:t xml:space="preserve">he </w:t>
      </w:r>
      <w:r>
        <w:rPr>
          <w:rFonts w:ascii="Times New Roman" w:hAnsi="Times New Roman" w:cs="Times New Roman"/>
          <w:sz w:val="24"/>
          <w:szCs w:val="24"/>
        </w:rPr>
        <w:t>C</w:t>
      </w:r>
      <w:r w:rsidRPr="0036725A">
        <w:rPr>
          <w:rFonts w:ascii="Times New Roman" w:hAnsi="Times New Roman" w:cs="Times New Roman"/>
          <w:sz w:val="24"/>
          <w:szCs w:val="24"/>
        </w:rPr>
        <w:t>ourt</w:t>
      </w:r>
      <w:r>
        <w:rPr>
          <w:rFonts w:ascii="Times New Roman" w:hAnsi="Times New Roman" w:cs="Times New Roman"/>
          <w:sz w:val="24"/>
          <w:szCs w:val="24"/>
        </w:rPr>
        <w:t>’s</w:t>
      </w:r>
      <w:r w:rsidRPr="0036725A">
        <w:rPr>
          <w:rFonts w:ascii="Times New Roman" w:hAnsi="Times New Roman" w:cs="Times New Roman"/>
          <w:sz w:val="24"/>
          <w:szCs w:val="24"/>
        </w:rPr>
        <w:t xml:space="preserve"> </w:t>
      </w:r>
      <w:r>
        <w:rPr>
          <w:rFonts w:ascii="Times New Roman" w:hAnsi="Times New Roman" w:cs="Times New Roman"/>
          <w:sz w:val="24"/>
          <w:szCs w:val="24"/>
        </w:rPr>
        <w:t xml:space="preserve">critique </w:t>
      </w:r>
      <w:r w:rsidRPr="0036725A">
        <w:rPr>
          <w:rFonts w:ascii="Times New Roman" w:hAnsi="Times New Roman" w:cs="Times New Roman"/>
          <w:sz w:val="24"/>
          <w:szCs w:val="24"/>
        </w:rPr>
        <w:t>of Reserve’s captive management team</w:t>
      </w:r>
      <w:r>
        <w:rPr>
          <w:rFonts w:ascii="Times New Roman" w:hAnsi="Times New Roman" w:cs="Times New Roman"/>
          <w:sz w:val="24"/>
          <w:szCs w:val="24"/>
        </w:rPr>
        <w:t xml:space="preserve"> was not </w:t>
      </w:r>
      <w:r w:rsidRPr="00A22D4C">
        <w:rPr>
          <w:rFonts w:ascii="Times New Roman" w:hAnsi="Times New Roman" w:cs="Times New Roman"/>
          <w:sz w:val="24"/>
          <w:szCs w:val="24"/>
        </w:rPr>
        <w:t xml:space="preserve">consistent with the evidence presented </w:t>
      </w:r>
      <w:r>
        <w:rPr>
          <w:rFonts w:ascii="Times New Roman" w:hAnsi="Times New Roman" w:cs="Times New Roman"/>
          <w:sz w:val="24"/>
          <w:szCs w:val="24"/>
        </w:rPr>
        <w:t>at trial.</w:t>
      </w:r>
    </w:p>
    <w:p w14:paraId="3E7079CD" w14:textId="77777777" w:rsidR="00250577" w:rsidRDefault="00250577" w:rsidP="00D30C10">
      <w:pPr>
        <w:spacing w:after="0" w:line="240" w:lineRule="auto"/>
        <w:rPr>
          <w:rFonts w:ascii="Times New Roman" w:hAnsi="Times New Roman" w:cs="Times New Roman"/>
          <w:sz w:val="24"/>
          <w:szCs w:val="24"/>
        </w:rPr>
      </w:pPr>
    </w:p>
    <w:p w14:paraId="13DA4871" w14:textId="0C699E54" w:rsidR="00250577" w:rsidRDefault="00250577" w:rsidP="00D30C10">
      <w:pPr>
        <w:spacing w:after="0" w:line="240" w:lineRule="auto"/>
        <w:rPr>
          <w:rFonts w:ascii="Times New Roman" w:hAnsi="Times New Roman" w:cs="Times New Roman"/>
          <w:sz w:val="24"/>
          <w:szCs w:val="24"/>
        </w:rPr>
      </w:pPr>
      <w:r>
        <w:rPr>
          <w:rFonts w:ascii="Times New Roman" w:hAnsi="Times New Roman" w:cs="Times New Roman"/>
          <w:sz w:val="24"/>
          <w:szCs w:val="24"/>
        </w:rPr>
        <w:t>First, the Court stated that the feasibility study (prepared jointly by Capstone and Willis) “</w:t>
      </w:r>
      <w:r w:rsidRPr="000938B8">
        <w:rPr>
          <w:rFonts w:ascii="Times New Roman" w:hAnsi="Times New Roman" w:cs="Times New Roman"/>
          <w:sz w:val="24"/>
          <w:szCs w:val="24"/>
        </w:rPr>
        <w:t>did not provide detailed information regarding the other risks that conventional insurance might not cover</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89"/>
      </w:r>
      <w:r>
        <w:rPr>
          <w:rFonts w:ascii="Times New Roman" w:hAnsi="Times New Roman" w:cs="Times New Roman"/>
          <w:sz w:val="24"/>
          <w:szCs w:val="24"/>
        </w:rPr>
        <w:t xml:space="preserve">  In point of fact, there was no discussion at trial as to an “accepted” or industry standard format for a feasibility study or even the requirement for a feasibility study in the first instance, which was confirmed in an article written by the government’s sole expert witness discussing whether a captive feasibility study is necessary.</w:t>
      </w:r>
      <w:r>
        <w:rPr>
          <w:rStyle w:val="EndnoteReference"/>
          <w:rFonts w:ascii="Times New Roman" w:hAnsi="Times New Roman" w:cs="Times New Roman"/>
          <w:sz w:val="24"/>
          <w:szCs w:val="24"/>
        </w:rPr>
        <w:endnoteReference w:id="90"/>
      </w:r>
      <w:r>
        <w:rPr>
          <w:rFonts w:ascii="Times New Roman" w:hAnsi="Times New Roman" w:cs="Times New Roman"/>
          <w:sz w:val="24"/>
          <w:szCs w:val="24"/>
        </w:rPr>
        <w:t xml:space="preserve">  No such standard was even suggested at trial because such doesn’t exist.  The Court erred in imposing newly created requirements for a feasibility study and then concluding its heightened bar had not been satisfied.</w:t>
      </w:r>
      <w:r>
        <w:rPr>
          <w:rStyle w:val="EndnoteReference"/>
          <w:rFonts w:ascii="Times New Roman" w:hAnsi="Times New Roman" w:cs="Times New Roman"/>
          <w:sz w:val="24"/>
          <w:szCs w:val="24"/>
        </w:rPr>
        <w:endnoteReference w:id="91"/>
      </w:r>
      <w:r>
        <w:rPr>
          <w:rFonts w:ascii="Times New Roman" w:hAnsi="Times New Roman" w:cs="Times New Roman"/>
          <w:sz w:val="24"/>
          <w:szCs w:val="24"/>
        </w:rPr>
        <w:t xml:space="preserve">  The Court’s position was clearly erroneous and went outside the trial record.</w:t>
      </w:r>
    </w:p>
    <w:p w14:paraId="501C92FB" w14:textId="77777777" w:rsidR="00250577" w:rsidRDefault="00250577" w:rsidP="00D30C10">
      <w:pPr>
        <w:spacing w:after="0" w:line="240" w:lineRule="auto"/>
        <w:rPr>
          <w:rFonts w:ascii="Times New Roman" w:hAnsi="Times New Roman" w:cs="Times New Roman"/>
          <w:sz w:val="24"/>
          <w:szCs w:val="24"/>
        </w:rPr>
      </w:pPr>
    </w:p>
    <w:p w14:paraId="7BFD7028" w14:textId="4AEBC0DA" w:rsidR="00250577" w:rsidRDefault="00250577" w:rsidP="00D30C10">
      <w:pPr>
        <w:spacing w:after="0" w:line="240" w:lineRule="auto"/>
        <w:rPr>
          <w:rFonts w:ascii="Times New Roman" w:hAnsi="Times New Roman" w:cs="Times New Roman"/>
          <w:sz w:val="24"/>
          <w:szCs w:val="24"/>
        </w:rPr>
      </w:pPr>
      <w:r>
        <w:rPr>
          <w:rFonts w:ascii="Times New Roman" w:hAnsi="Times New Roman" w:cs="Times New Roman"/>
          <w:sz w:val="24"/>
          <w:szCs w:val="24"/>
        </w:rPr>
        <w:t>Further, even a brief review of the trial record controverts the Court’s own “analysis.” The feasibility study contained over 10 pages (1) analyzing each of Peak’s then existing commercial insurance coverages, (2) describing the coverage issues and concerns typically faced by similar insureds due to shortcomings in commercial policies, (3) discussing other issues (such as pricing inequity, market conditions, loss control, and risk management issues) not typically addressed by commercial policies, and (4) identifying and explaining eight different exposures that Reserve might consider insuring through a captive insurer.</w:t>
      </w:r>
      <w:r>
        <w:rPr>
          <w:rStyle w:val="EndnoteReference"/>
          <w:rFonts w:ascii="Times New Roman" w:hAnsi="Times New Roman" w:cs="Times New Roman"/>
          <w:sz w:val="24"/>
          <w:szCs w:val="24"/>
        </w:rPr>
        <w:endnoteReference w:id="92"/>
      </w:r>
      <w:r>
        <w:rPr>
          <w:rFonts w:ascii="Times New Roman" w:hAnsi="Times New Roman" w:cs="Times New Roman"/>
          <w:sz w:val="24"/>
          <w:szCs w:val="24"/>
        </w:rPr>
        <w:t xml:space="preserve">  Despite the lack of any evidence or testimony on what a feasibility study must or should contain, the Court manufactured its own conclusions as to what it thought should be included, conducting no analysis of the evidence or the testimony at trial or even an accurate review as to what was done prior to the decision being made to form a captive.</w:t>
      </w:r>
    </w:p>
    <w:p w14:paraId="44C4A1B2" w14:textId="77777777" w:rsidR="00250577" w:rsidRDefault="00250577" w:rsidP="00D30C10">
      <w:pPr>
        <w:spacing w:after="0" w:line="240" w:lineRule="auto"/>
        <w:rPr>
          <w:rFonts w:ascii="Times New Roman" w:hAnsi="Times New Roman" w:cs="Times New Roman"/>
          <w:sz w:val="24"/>
          <w:szCs w:val="24"/>
        </w:rPr>
      </w:pPr>
    </w:p>
    <w:p w14:paraId="2A34B438" w14:textId="515237D9" w:rsidR="00250577" w:rsidRDefault="00250577" w:rsidP="00A257E6">
      <w:pPr>
        <w:spacing w:after="0" w:line="240" w:lineRule="auto"/>
        <w:rPr>
          <w:rFonts w:ascii="Times New Roman" w:hAnsi="Times New Roman" w:cs="Times New Roman"/>
          <w:sz w:val="24"/>
          <w:szCs w:val="24"/>
        </w:rPr>
      </w:pPr>
      <w:r>
        <w:rPr>
          <w:rFonts w:ascii="Times New Roman" w:hAnsi="Times New Roman" w:cs="Times New Roman"/>
          <w:sz w:val="24"/>
          <w:szCs w:val="24"/>
        </w:rPr>
        <w:t>Second, the</w:t>
      </w:r>
      <w:r w:rsidRPr="0036725A">
        <w:rPr>
          <w:rFonts w:ascii="Times New Roman" w:hAnsi="Times New Roman" w:cs="Times New Roman"/>
          <w:sz w:val="24"/>
          <w:szCs w:val="24"/>
        </w:rPr>
        <w:t xml:space="preserve"> </w:t>
      </w:r>
      <w:r>
        <w:rPr>
          <w:rFonts w:ascii="Times New Roman" w:hAnsi="Times New Roman" w:cs="Times New Roman"/>
          <w:sz w:val="24"/>
          <w:szCs w:val="24"/>
        </w:rPr>
        <w:t>C</w:t>
      </w:r>
      <w:r w:rsidRPr="0036725A">
        <w:rPr>
          <w:rFonts w:ascii="Times New Roman" w:hAnsi="Times New Roman" w:cs="Times New Roman"/>
          <w:sz w:val="24"/>
          <w:szCs w:val="24"/>
        </w:rPr>
        <w:t xml:space="preserve">ourt </w:t>
      </w:r>
      <w:r>
        <w:rPr>
          <w:rFonts w:ascii="Times New Roman" w:hAnsi="Times New Roman" w:cs="Times New Roman"/>
          <w:sz w:val="24"/>
          <w:szCs w:val="24"/>
        </w:rPr>
        <w:t xml:space="preserve">suggested, again erroneously, that the role of Willis was limited to a high-level </w:t>
      </w:r>
      <w:r w:rsidRPr="00A257E6">
        <w:rPr>
          <w:rFonts w:ascii="Times New Roman" w:hAnsi="Times New Roman" w:cs="Times New Roman"/>
          <w:sz w:val="24"/>
          <w:szCs w:val="24"/>
        </w:rPr>
        <w:t xml:space="preserve">review </w:t>
      </w:r>
      <w:r w:rsidRPr="00967B69">
        <w:rPr>
          <w:rFonts w:ascii="Times New Roman" w:hAnsi="Times New Roman" w:cs="Times New Roman"/>
          <w:sz w:val="24"/>
          <w:szCs w:val="24"/>
        </w:rPr>
        <w:t xml:space="preserve">of the study and that the Willis senior vice president doing the work, </w:t>
      </w:r>
      <w:r>
        <w:rPr>
          <w:rFonts w:ascii="Times New Roman" w:hAnsi="Times New Roman" w:cs="Times New Roman"/>
          <w:sz w:val="24"/>
          <w:szCs w:val="24"/>
        </w:rPr>
        <w:t>Robert</w:t>
      </w:r>
      <w:r w:rsidRPr="00967B69">
        <w:rPr>
          <w:rFonts w:ascii="Times New Roman" w:hAnsi="Times New Roman" w:cs="Times New Roman"/>
          <w:sz w:val="24"/>
          <w:szCs w:val="24"/>
        </w:rPr>
        <w:t xml:space="preserve"> Snyder, was not closely involved in the preparation of the feasibility study.</w:t>
      </w:r>
      <w:r w:rsidRPr="00967B69">
        <w:rPr>
          <w:rStyle w:val="EndnoteReference"/>
          <w:rFonts w:ascii="Times New Roman" w:hAnsi="Times New Roman" w:cs="Times New Roman"/>
          <w:sz w:val="24"/>
          <w:szCs w:val="24"/>
        </w:rPr>
        <w:endnoteReference w:id="93"/>
      </w:r>
      <w:r w:rsidRPr="00967B69">
        <w:rPr>
          <w:rFonts w:ascii="Times New Roman" w:hAnsi="Times New Roman" w:cs="Times New Roman"/>
          <w:sz w:val="24"/>
          <w:szCs w:val="24"/>
        </w:rPr>
        <w:t xml:space="preserve">  </w:t>
      </w:r>
      <w:r>
        <w:rPr>
          <w:rFonts w:ascii="Times New Roman" w:hAnsi="Times New Roman" w:cs="Times New Roman"/>
          <w:sz w:val="24"/>
          <w:szCs w:val="24"/>
        </w:rPr>
        <w:t>Contrary to the Court’s implication</w:t>
      </w:r>
      <w:r w:rsidRPr="00967B69">
        <w:rPr>
          <w:rFonts w:ascii="Times New Roman" w:hAnsi="Times New Roman" w:cs="Times New Roman"/>
          <w:sz w:val="24"/>
          <w:szCs w:val="24"/>
        </w:rPr>
        <w:t xml:space="preserve">, Mr. Snyder testified </w:t>
      </w:r>
      <w:r>
        <w:rPr>
          <w:rFonts w:ascii="Times New Roman" w:hAnsi="Times New Roman" w:cs="Times New Roman"/>
          <w:sz w:val="24"/>
          <w:szCs w:val="24"/>
        </w:rPr>
        <w:t xml:space="preserve">at trial </w:t>
      </w:r>
      <w:r w:rsidRPr="00967B69">
        <w:rPr>
          <w:rFonts w:ascii="Times New Roman" w:hAnsi="Times New Roman" w:cs="Times New Roman"/>
          <w:sz w:val="24"/>
          <w:szCs w:val="24"/>
        </w:rPr>
        <w:t xml:space="preserve">that he worked on a collaborative basis with </w:t>
      </w:r>
      <w:r>
        <w:rPr>
          <w:rFonts w:ascii="Times New Roman" w:hAnsi="Times New Roman" w:cs="Times New Roman"/>
          <w:sz w:val="24"/>
          <w:szCs w:val="24"/>
        </w:rPr>
        <w:t xml:space="preserve">Capstone’s </w:t>
      </w:r>
      <w:r w:rsidRPr="00967B69">
        <w:rPr>
          <w:rFonts w:ascii="Times New Roman" w:hAnsi="Times New Roman" w:cs="Times New Roman"/>
          <w:sz w:val="24"/>
          <w:szCs w:val="24"/>
        </w:rPr>
        <w:t xml:space="preserve">staff </w:t>
      </w:r>
      <w:r>
        <w:rPr>
          <w:rFonts w:ascii="Times New Roman" w:hAnsi="Times New Roman" w:cs="Times New Roman"/>
          <w:sz w:val="24"/>
          <w:szCs w:val="24"/>
        </w:rPr>
        <w:t xml:space="preserve">over </w:t>
      </w:r>
      <w:r w:rsidRPr="00967B69">
        <w:rPr>
          <w:rFonts w:ascii="Times New Roman" w:hAnsi="Times New Roman" w:cs="Times New Roman"/>
          <w:sz w:val="24"/>
          <w:szCs w:val="24"/>
        </w:rPr>
        <w:t xml:space="preserve">a long period of time and </w:t>
      </w:r>
      <w:r>
        <w:rPr>
          <w:rFonts w:ascii="Times New Roman" w:hAnsi="Times New Roman" w:cs="Times New Roman"/>
          <w:sz w:val="24"/>
          <w:szCs w:val="24"/>
        </w:rPr>
        <w:t>that it was his ongoing role to</w:t>
      </w:r>
      <w:r w:rsidRPr="00967B69">
        <w:rPr>
          <w:rFonts w:ascii="Times New Roman" w:hAnsi="Times New Roman" w:cs="Times New Roman"/>
          <w:sz w:val="24"/>
          <w:szCs w:val="24"/>
        </w:rPr>
        <w:t xml:space="preserve"> </w:t>
      </w:r>
      <w:r>
        <w:rPr>
          <w:rFonts w:ascii="Times New Roman" w:hAnsi="Times New Roman" w:cs="Times New Roman"/>
          <w:sz w:val="24"/>
          <w:szCs w:val="24"/>
        </w:rPr>
        <w:t xml:space="preserve">review assembled </w:t>
      </w:r>
      <w:r w:rsidRPr="00967B69">
        <w:rPr>
          <w:rFonts w:ascii="Times New Roman" w:hAnsi="Times New Roman" w:cs="Times New Roman"/>
          <w:sz w:val="24"/>
          <w:szCs w:val="24"/>
        </w:rPr>
        <w:t xml:space="preserve">background material </w:t>
      </w:r>
      <w:r>
        <w:rPr>
          <w:rFonts w:ascii="Times New Roman" w:hAnsi="Times New Roman" w:cs="Times New Roman"/>
          <w:sz w:val="24"/>
          <w:szCs w:val="24"/>
        </w:rPr>
        <w:t xml:space="preserve">in the context of the preparation of </w:t>
      </w:r>
      <w:r w:rsidRPr="00967B69">
        <w:rPr>
          <w:rFonts w:ascii="Times New Roman" w:hAnsi="Times New Roman" w:cs="Times New Roman"/>
          <w:sz w:val="24"/>
          <w:szCs w:val="24"/>
        </w:rPr>
        <w:t xml:space="preserve">feasibility studies, </w:t>
      </w:r>
      <w:r>
        <w:rPr>
          <w:rFonts w:ascii="Times New Roman" w:hAnsi="Times New Roman" w:cs="Times New Roman"/>
          <w:sz w:val="24"/>
          <w:szCs w:val="24"/>
        </w:rPr>
        <w:t xml:space="preserve">leading to such studies being jointly issued by </w:t>
      </w:r>
      <w:r w:rsidRPr="00A7392B">
        <w:rPr>
          <w:rFonts w:ascii="Times New Roman" w:hAnsi="Times New Roman" w:cs="Times New Roman"/>
          <w:sz w:val="24"/>
          <w:szCs w:val="24"/>
        </w:rPr>
        <w:t>Willis and Capstone.</w:t>
      </w:r>
      <w:r w:rsidRPr="00A7392B">
        <w:rPr>
          <w:rStyle w:val="EndnoteReference"/>
          <w:rFonts w:ascii="Times New Roman" w:hAnsi="Times New Roman" w:cs="Times New Roman"/>
          <w:sz w:val="24"/>
          <w:szCs w:val="24"/>
        </w:rPr>
        <w:endnoteReference w:id="94"/>
      </w:r>
      <w:r w:rsidRPr="00A7392B">
        <w:rPr>
          <w:rFonts w:ascii="Times New Roman" w:hAnsi="Times New Roman" w:cs="Times New Roman"/>
          <w:sz w:val="24"/>
          <w:szCs w:val="24"/>
        </w:rPr>
        <w:t xml:space="preserve">  </w:t>
      </w:r>
      <w:r>
        <w:rPr>
          <w:rFonts w:ascii="Times New Roman" w:hAnsi="Times New Roman" w:cs="Times New Roman"/>
          <w:sz w:val="24"/>
          <w:szCs w:val="24"/>
        </w:rPr>
        <w:t xml:space="preserve">Without any basis for such, the Court concluded that </w:t>
      </w:r>
      <w:r w:rsidRPr="00A7392B">
        <w:rPr>
          <w:rFonts w:ascii="Times New Roman" w:hAnsi="Times New Roman" w:cs="Times New Roman"/>
          <w:sz w:val="24"/>
          <w:szCs w:val="24"/>
        </w:rPr>
        <w:t xml:space="preserve">Mr. Snyder was simply “rubber stamping” </w:t>
      </w:r>
      <w:r>
        <w:rPr>
          <w:rFonts w:ascii="Times New Roman" w:hAnsi="Times New Roman" w:cs="Times New Roman"/>
          <w:sz w:val="24"/>
          <w:szCs w:val="24"/>
        </w:rPr>
        <w:t>the feasibility study.</w:t>
      </w:r>
      <w:r>
        <w:rPr>
          <w:rStyle w:val="EndnoteReference"/>
          <w:rFonts w:ascii="Times New Roman" w:hAnsi="Times New Roman" w:cs="Times New Roman"/>
          <w:sz w:val="24"/>
          <w:szCs w:val="24"/>
        </w:rPr>
        <w:endnoteReference w:id="95"/>
      </w:r>
      <w:r>
        <w:rPr>
          <w:rFonts w:ascii="Times New Roman" w:hAnsi="Times New Roman" w:cs="Times New Roman"/>
          <w:sz w:val="24"/>
          <w:szCs w:val="24"/>
        </w:rPr>
        <w:t xml:space="preserve">  In point of fact, Willis offered its professional opinion and signed the study, with Capstone taking joint responsibility for such, all of which was uncontroverted at trial.</w:t>
      </w:r>
      <w:r>
        <w:rPr>
          <w:rStyle w:val="EndnoteReference"/>
          <w:rFonts w:ascii="Times New Roman" w:hAnsi="Times New Roman" w:cs="Times New Roman"/>
          <w:sz w:val="24"/>
          <w:szCs w:val="24"/>
        </w:rPr>
        <w:endnoteReference w:id="96"/>
      </w:r>
      <w:r>
        <w:rPr>
          <w:rFonts w:ascii="Times New Roman" w:hAnsi="Times New Roman" w:cs="Times New Roman"/>
          <w:sz w:val="24"/>
          <w:szCs w:val="24"/>
        </w:rPr>
        <w:t xml:space="preserve">  The Court’s liberty with the testimony cannot be explained. </w:t>
      </w:r>
    </w:p>
    <w:p w14:paraId="70D77BA8" w14:textId="77777777" w:rsidR="00250577" w:rsidRDefault="00250577" w:rsidP="00A257E6">
      <w:pPr>
        <w:spacing w:after="0" w:line="240" w:lineRule="auto"/>
        <w:rPr>
          <w:rFonts w:ascii="Times New Roman" w:hAnsi="Times New Roman" w:cs="Times New Roman"/>
          <w:sz w:val="24"/>
          <w:szCs w:val="24"/>
        </w:rPr>
      </w:pPr>
    </w:p>
    <w:p w14:paraId="467C0A8C" w14:textId="3780D55E" w:rsidR="00250577" w:rsidRDefault="00250577" w:rsidP="00A257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any event, the feasibility study represented the joint work product of the two organizations, which both stood by the report at trial.  The information gathered from the insureds was analyzed by both organizations’ representatives, followed by meetings and discussions taking place between Messrs. Snyder and McNeel, culminating in the feasibility </w:t>
      </w:r>
      <w:r w:rsidRPr="003D65CC">
        <w:rPr>
          <w:rFonts w:ascii="Times New Roman" w:hAnsi="Times New Roman" w:cs="Times New Roman"/>
          <w:sz w:val="24"/>
          <w:szCs w:val="24"/>
        </w:rPr>
        <w:t>study</w:t>
      </w:r>
      <w:r>
        <w:rPr>
          <w:rFonts w:ascii="Times New Roman" w:hAnsi="Times New Roman" w:cs="Times New Roman"/>
          <w:sz w:val="24"/>
          <w:szCs w:val="24"/>
        </w:rPr>
        <w:t xml:space="preserve"> being </w:t>
      </w:r>
      <w:r w:rsidRPr="003D65CC">
        <w:rPr>
          <w:rFonts w:ascii="Times New Roman" w:hAnsi="Times New Roman" w:cs="Times New Roman"/>
          <w:sz w:val="24"/>
          <w:szCs w:val="24"/>
        </w:rPr>
        <w:t xml:space="preserve">jointly </w:t>
      </w:r>
      <w:r>
        <w:rPr>
          <w:rFonts w:ascii="Times New Roman" w:hAnsi="Times New Roman" w:cs="Times New Roman"/>
          <w:sz w:val="24"/>
          <w:szCs w:val="24"/>
        </w:rPr>
        <w:t>issued under the authority of both companies who performed the work as a collaborative effort</w:t>
      </w:r>
      <w:r w:rsidRPr="0036725A">
        <w:rPr>
          <w:rFonts w:ascii="Times New Roman" w:hAnsi="Times New Roman" w:cs="Times New Roman"/>
          <w:sz w:val="24"/>
          <w:szCs w:val="24"/>
        </w:rPr>
        <w:t>.</w:t>
      </w:r>
      <w:r>
        <w:rPr>
          <w:rStyle w:val="EndnoteReference"/>
          <w:rFonts w:ascii="Times New Roman" w:hAnsi="Times New Roman" w:cs="Times New Roman"/>
          <w:sz w:val="24"/>
          <w:szCs w:val="24"/>
        </w:rPr>
        <w:endnoteReference w:id="97"/>
      </w:r>
      <w:r>
        <w:rPr>
          <w:rFonts w:ascii="Times New Roman" w:hAnsi="Times New Roman" w:cs="Times New Roman"/>
          <w:sz w:val="24"/>
          <w:szCs w:val="24"/>
        </w:rPr>
        <w:t xml:space="preserve">  Yet the Court concluded that this approach was unacceptable.</w:t>
      </w:r>
      <w:r>
        <w:rPr>
          <w:rStyle w:val="EndnoteReference"/>
          <w:rFonts w:ascii="Times New Roman" w:hAnsi="Times New Roman" w:cs="Times New Roman"/>
          <w:sz w:val="24"/>
          <w:szCs w:val="24"/>
        </w:rPr>
        <w:endnoteReference w:id="98"/>
      </w:r>
    </w:p>
    <w:p w14:paraId="1FAD7161" w14:textId="77777777" w:rsidR="00250577" w:rsidRPr="0036725A" w:rsidRDefault="00250577" w:rsidP="002A3BF6">
      <w:pPr>
        <w:spacing w:after="0" w:line="240" w:lineRule="auto"/>
        <w:rPr>
          <w:rFonts w:ascii="Times New Roman" w:hAnsi="Times New Roman" w:cs="Times New Roman"/>
          <w:sz w:val="24"/>
          <w:szCs w:val="24"/>
        </w:rPr>
      </w:pPr>
    </w:p>
    <w:p w14:paraId="5BE36BE1" w14:textId="77777777" w:rsidR="00250577" w:rsidRPr="0036725A" w:rsidRDefault="00250577" w:rsidP="002A3BF6">
      <w:pPr>
        <w:spacing w:after="0" w:line="240" w:lineRule="auto"/>
        <w:rPr>
          <w:rFonts w:ascii="Times New Roman" w:hAnsi="Times New Roman" w:cs="Times New Roman"/>
          <w:b/>
          <w:sz w:val="24"/>
          <w:szCs w:val="24"/>
        </w:rPr>
      </w:pPr>
      <w:r w:rsidRPr="0036725A">
        <w:rPr>
          <w:rFonts w:ascii="Times New Roman" w:hAnsi="Times New Roman" w:cs="Times New Roman"/>
          <w:b/>
          <w:sz w:val="24"/>
          <w:szCs w:val="24"/>
        </w:rPr>
        <w:t>The Pooling Arrangement</w:t>
      </w:r>
    </w:p>
    <w:p w14:paraId="3EAE882E" w14:textId="77777777" w:rsidR="00250577" w:rsidRPr="0036725A" w:rsidRDefault="00250577" w:rsidP="00E60AC4">
      <w:pPr>
        <w:spacing w:after="0" w:line="240" w:lineRule="auto"/>
        <w:rPr>
          <w:rFonts w:ascii="Times New Roman" w:hAnsi="Times New Roman" w:cs="Times New Roman"/>
          <w:sz w:val="24"/>
          <w:szCs w:val="24"/>
        </w:rPr>
      </w:pPr>
    </w:p>
    <w:p w14:paraId="48AB26B3" w14:textId="6DDAB402" w:rsidR="00250577" w:rsidRDefault="00250577" w:rsidP="006818D8">
      <w:pPr>
        <w:spacing w:after="0" w:line="240" w:lineRule="auto"/>
        <w:rPr>
          <w:rFonts w:ascii="Times New Roman" w:hAnsi="Times New Roman" w:cs="Times New Roman"/>
          <w:sz w:val="24"/>
          <w:szCs w:val="24"/>
        </w:rPr>
      </w:pPr>
      <w:r w:rsidRPr="001D62D5">
        <w:rPr>
          <w:rFonts w:ascii="Times New Roman" w:hAnsi="Times New Roman" w:cs="Times New Roman"/>
          <w:sz w:val="24"/>
          <w:szCs w:val="24"/>
        </w:rPr>
        <w:t>Each of the above direct written policies</w:t>
      </w:r>
      <w:r>
        <w:rPr>
          <w:rFonts w:ascii="Times New Roman" w:hAnsi="Times New Roman" w:cs="Times New Roman"/>
          <w:sz w:val="24"/>
          <w:szCs w:val="24"/>
        </w:rPr>
        <w:t xml:space="preserve"> for the three named insureds </w:t>
      </w:r>
      <w:r w:rsidRPr="001D62D5">
        <w:rPr>
          <w:rFonts w:ascii="Times New Roman" w:hAnsi="Times New Roman" w:cs="Times New Roman"/>
          <w:sz w:val="24"/>
          <w:szCs w:val="24"/>
        </w:rPr>
        <w:t xml:space="preserve">were directly underwritten by Reserve </w:t>
      </w:r>
      <w:r>
        <w:rPr>
          <w:rFonts w:ascii="Times New Roman" w:hAnsi="Times New Roman" w:cs="Times New Roman"/>
          <w:sz w:val="24"/>
          <w:szCs w:val="24"/>
        </w:rPr>
        <w:t xml:space="preserve">jointly with PoolRe, </w:t>
      </w:r>
      <w:r w:rsidRPr="00475B51">
        <w:rPr>
          <w:rFonts w:ascii="Times New Roman" w:hAnsi="Times New Roman" w:cs="Times New Roman"/>
          <w:sz w:val="24"/>
          <w:szCs w:val="24"/>
        </w:rPr>
        <w:t>which issued a stop loss endorsement on each policy for a separately stated premium (depending on the year and based upon an independent actuary’s input) of between 18.5% and 19.9% of the total direct written premiums accepted by the pool.  That is, if a Reserve issued policy were for $1 million in face value coverage, the PoolRe stop loss endorsement provided that above a certain threshold</w:t>
      </w:r>
      <w:r w:rsidRPr="006B4CA7">
        <w:rPr>
          <w:rFonts w:ascii="Times New Roman" w:hAnsi="Times New Roman" w:cs="Times New Roman"/>
          <w:sz w:val="24"/>
          <w:szCs w:val="24"/>
        </w:rPr>
        <w:t xml:space="preserve"> </w:t>
      </w:r>
      <w:r>
        <w:rPr>
          <w:rFonts w:ascii="Times New Roman" w:hAnsi="Times New Roman" w:cs="Times New Roman"/>
          <w:sz w:val="24"/>
          <w:szCs w:val="24"/>
        </w:rPr>
        <w:t xml:space="preserve">of loss </w:t>
      </w:r>
      <w:r w:rsidRPr="006B4CA7">
        <w:rPr>
          <w:rFonts w:ascii="Times New Roman" w:hAnsi="Times New Roman" w:cs="Times New Roman"/>
          <w:sz w:val="24"/>
          <w:szCs w:val="24"/>
        </w:rPr>
        <w:t xml:space="preserve">through a given payment cap that such </w:t>
      </w:r>
      <w:r>
        <w:rPr>
          <w:rFonts w:ascii="Times New Roman" w:hAnsi="Times New Roman" w:cs="Times New Roman"/>
          <w:sz w:val="24"/>
          <w:szCs w:val="24"/>
        </w:rPr>
        <w:t xml:space="preserve">loss tranche </w:t>
      </w:r>
      <w:r w:rsidRPr="006B4CA7">
        <w:rPr>
          <w:rFonts w:ascii="Times New Roman" w:hAnsi="Times New Roman" w:cs="Times New Roman"/>
          <w:sz w:val="24"/>
          <w:szCs w:val="24"/>
        </w:rPr>
        <w:t xml:space="preserve">would be </w:t>
      </w:r>
      <w:r>
        <w:rPr>
          <w:rFonts w:ascii="Times New Roman" w:hAnsi="Times New Roman" w:cs="Times New Roman"/>
          <w:sz w:val="24"/>
          <w:szCs w:val="24"/>
        </w:rPr>
        <w:t xml:space="preserve">50% paid through </w:t>
      </w:r>
      <w:r w:rsidRPr="006B4CA7">
        <w:rPr>
          <w:rFonts w:ascii="Times New Roman" w:hAnsi="Times New Roman" w:cs="Times New Roman"/>
          <w:sz w:val="24"/>
          <w:szCs w:val="24"/>
        </w:rPr>
        <w:t>PoolRe</w:t>
      </w:r>
      <w:r>
        <w:rPr>
          <w:rFonts w:ascii="Times New Roman" w:hAnsi="Times New Roman" w:cs="Times New Roman"/>
          <w:sz w:val="24"/>
          <w:szCs w:val="24"/>
        </w:rPr>
        <w:t xml:space="preserve"> (which had separately distributed its liability among 58 other insurers for which PoolRe administered claims).  This </w:t>
      </w:r>
      <w:r w:rsidRPr="006B4CA7">
        <w:rPr>
          <w:rFonts w:ascii="Times New Roman" w:hAnsi="Times New Roman" w:cs="Times New Roman"/>
          <w:sz w:val="24"/>
          <w:szCs w:val="24"/>
        </w:rPr>
        <w:t xml:space="preserve">traditional insurance </w:t>
      </w:r>
      <w:r>
        <w:rPr>
          <w:rFonts w:ascii="Times New Roman" w:hAnsi="Times New Roman" w:cs="Times New Roman"/>
          <w:sz w:val="24"/>
          <w:szCs w:val="24"/>
        </w:rPr>
        <w:t xml:space="preserve">pooling </w:t>
      </w:r>
      <w:r w:rsidRPr="006B4CA7">
        <w:rPr>
          <w:rFonts w:ascii="Times New Roman" w:hAnsi="Times New Roman" w:cs="Times New Roman"/>
          <w:sz w:val="24"/>
          <w:szCs w:val="24"/>
        </w:rPr>
        <w:t xml:space="preserve">arrangement </w:t>
      </w:r>
      <w:r>
        <w:rPr>
          <w:rFonts w:ascii="Times New Roman" w:hAnsi="Times New Roman" w:cs="Times New Roman"/>
          <w:sz w:val="24"/>
          <w:szCs w:val="24"/>
        </w:rPr>
        <w:t xml:space="preserve">has as one of its objectives </w:t>
      </w:r>
      <w:r w:rsidRPr="006B4CA7">
        <w:rPr>
          <w:rFonts w:ascii="Times New Roman" w:hAnsi="Times New Roman" w:cs="Times New Roman"/>
          <w:sz w:val="24"/>
          <w:szCs w:val="24"/>
        </w:rPr>
        <w:t>limit</w:t>
      </w:r>
      <w:r>
        <w:rPr>
          <w:rFonts w:ascii="Times New Roman" w:hAnsi="Times New Roman" w:cs="Times New Roman"/>
          <w:sz w:val="24"/>
          <w:szCs w:val="24"/>
        </w:rPr>
        <w:t xml:space="preserve">ing Reserve’s </w:t>
      </w:r>
      <w:r w:rsidRPr="006B4CA7">
        <w:rPr>
          <w:rFonts w:ascii="Times New Roman" w:hAnsi="Times New Roman" w:cs="Times New Roman"/>
          <w:sz w:val="24"/>
          <w:szCs w:val="24"/>
        </w:rPr>
        <w:t xml:space="preserve">exposure for a large loss that </w:t>
      </w:r>
      <w:r>
        <w:rPr>
          <w:rFonts w:ascii="Times New Roman" w:hAnsi="Times New Roman" w:cs="Times New Roman"/>
          <w:sz w:val="24"/>
          <w:szCs w:val="24"/>
        </w:rPr>
        <w:t>c</w:t>
      </w:r>
      <w:r w:rsidRPr="006B4CA7">
        <w:rPr>
          <w:rFonts w:ascii="Times New Roman" w:hAnsi="Times New Roman" w:cs="Times New Roman"/>
          <w:sz w:val="24"/>
          <w:szCs w:val="24"/>
        </w:rPr>
        <w:t xml:space="preserve">ould </w:t>
      </w:r>
      <w:r>
        <w:rPr>
          <w:rFonts w:ascii="Times New Roman" w:hAnsi="Times New Roman" w:cs="Times New Roman"/>
          <w:sz w:val="24"/>
          <w:szCs w:val="24"/>
        </w:rPr>
        <w:t>impair Reserve’s viability in the case of a larger claim</w:t>
      </w:r>
      <w:r w:rsidRPr="006B4CA7">
        <w:rPr>
          <w:rFonts w:ascii="Times New Roman" w:hAnsi="Times New Roman" w:cs="Times New Roman"/>
          <w:sz w:val="24"/>
          <w:szCs w:val="24"/>
        </w:rPr>
        <w:t xml:space="preserve">.  </w:t>
      </w:r>
      <w:r>
        <w:rPr>
          <w:rFonts w:ascii="Times New Roman" w:hAnsi="Times New Roman" w:cs="Times New Roman"/>
          <w:sz w:val="24"/>
          <w:szCs w:val="24"/>
        </w:rPr>
        <w:t>T</w:t>
      </w:r>
      <w:r w:rsidRPr="006B4CA7">
        <w:rPr>
          <w:rFonts w:ascii="Times New Roman" w:hAnsi="Times New Roman" w:cs="Times New Roman"/>
          <w:sz w:val="24"/>
          <w:szCs w:val="24"/>
        </w:rPr>
        <w:t xml:space="preserve">he </w:t>
      </w:r>
      <w:r>
        <w:rPr>
          <w:rFonts w:ascii="Times New Roman" w:hAnsi="Times New Roman" w:cs="Times New Roman"/>
          <w:sz w:val="24"/>
          <w:szCs w:val="24"/>
        </w:rPr>
        <w:t xml:space="preserve">following </w:t>
      </w:r>
      <w:r w:rsidRPr="006B4CA7">
        <w:rPr>
          <w:rFonts w:ascii="Times New Roman" w:hAnsi="Times New Roman" w:cs="Times New Roman"/>
          <w:sz w:val="24"/>
          <w:szCs w:val="24"/>
        </w:rPr>
        <w:t xml:space="preserve">diagram </w:t>
      </w:r>
      <w:r>
        <w:rPr>
          <w:rFonts w:ascii="Times New Roman" w:hAnsi="Times New Roman" w:cs="Times New Roman"/>
          <w:sz w:val="24"/>
          <w:szCs w:val="24"/>
        </w:rPr>
        <w:t>depicts</w:t>
      </w:r>
      <w:r w:rsidRPr="006B4CA7">
        <w:rPr>
          <w:rFonts w:ascii="Times New Roman" w:hAnsi="Times New Roman" w:cs="Times New Roman"/>
          <w:sz w:val="24"/>
          <w:szCs w:val="24"/>
        </w:rPr>
        <w:t xml:space="preserve"> the different tranches of risk that were borne by each party in connection with Reserve’s participation in the PoolRe pooling arrangement</w:t>
      </w:r>
      <w:r>
        <w:rPr>
          <w:rFonts w:ascii="Times New Roman" w:hAnsi="Times New Roman" w:cs="Times New Roman"/>
          <w:sz w:val="24"/>
          <w:szCs w:val="24"/>
        </w:rPr>
        <w:t xml:space="preserve"> (in 2010, for example)</w:t>
      </w:r>
      <w:r w:rsidRPr="006B4CA7">
        <w:rPr>
          <w:rFonts w:ascii="Times New Roman" w:hAnsi="Times New Roman" w:cs="Times New Roman"/>
          <w:sz w:val="24"/>
          <w:szCs w:val="24"/>
        </w:rPr>
        <w:t>.</w:t>
      </w:r>
    </w:p>
    <w:p w14:paraId="68F880A2" w14:textId="77777777" w:rsidR="00250577" w:rsidRDefault="00250577" w:rsidP="006818D8">
      <w:pPr>
        <w:spacing w:after="0" w:line="240" w:lineRule="auto"/>
        <w:rPr>
          <w:rFonts w:ascii="Times New Roman" w:hAnsi="Times New Roman" w:cs="Times New Roman"/>
          <w:sz w:val="24"/>
          <w:szCs w:val="24"/>
        </w:rPr>
      </w:pPr>
    </w:p>
    <w:p w14:paraId="6072C4C2" w14:textId="3A6ABF84" w:rsidR="00250577" w:rsidRPr="00594BB2" w:rsidRDefault="00A83EB8" w:rsidP="006818D8">
      <w:pPr>
        <w:spacing w:after="0" w:line="240" w:lineRule="auto"/>
        <w:rPr>
          <w:noProof/>
        </w:rPr>
      </w:pPr>
      <w:r>
        <w:rPr>
          <w:noProof/>
        </w:rPr>
        <w:drawing>
          <wp:inline distT="0" distB="0" distL="0" distR="0" wp14:anchorId="2C41FE46" wp14:editId="162CC30A">
            <wp:extent cx="5943600" cy="3331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331845"/>
                    </a:xfrm>
                    <a:prstGeom prst="rect">
                      <a:avLst/>
                    </a:prstGeom>
                  </pic:spPr>
                </pic:pic>
              </a:graphicData>
            </a:graphic>
          </wp:inline>
        </w:drawing>
      </w:r>
    </w:p>
    <w:p w14:paraId="2DF3318D" w14:textId="0C5C504A" w:rsidR="00250577" w:rsidRDefault="00250577" w:rsidP="006818D8">
      <w:pPr>
        <w:spacing w:after="0" w:line="240" w:lineRule="auto"/>
        <w:rPr>
          <w:rFonts w:ascii="Times New Roman" w:hAnsi="Times New Roman" w:cs="Times New Roman"/>
          <w:sz w:val="24"/>
          <w:szCs w:val="24"/>
        </w:rPr>
      </w:pPr>
      <w:r>
        <w:rPr>
          <w:rFonts w:ascii="Times New Roman" w:hAnsi="Times New Roman" w:cs="Times New Roman"/>
          <w:sz w:val="24"/>
          <w:szCs w:val="24"/>
        </w:rPr>
        <w:t>From the standpoint of PoolRe, its businesses include operating a pooling arrangement in exchange for receiving premiums, with PoolRe blending the risks of all participants and then novating these rights through a quota share agreement such that the homogenized premiums for the many hundreds of policies are ceded to dozens of reinsurers for a premium paid to them.  These other insurers absorb on a pooled or homogenized basis what was formerly PoolRe’s risks and prior to that the risks of (in 2010) 650+ otherwise unaffiliated insureds.</w:t>
      </w:r>
    </w:p>
    <w:p w14:paraId="65C0B75A" w14:textId="77777777" w:rsidR="00250577" w:rsidRDefault="00250577" w:rsidP="006818D8">
      <w:pPr>
        <w:spacing w:after="0" w:line="240" w:lineRule="auto"/>
        <w:rPr>
          <w:rFonts w:ascii="Times New Roman" w:hAnsi="Times New Roman" w:cs="Times New Roman"/>
          <w:sz w:val="24"/>
          <w:szCs w:val="24"/>
        </w:rPr>
      </w:pPr>
    </w:p>
    <w:p w14:paraId="2D46DC53" w14:textId="51425B2C" w:rsidR="00250577" w:rsidRDefault="00250577" w:rsidP="006818D8">
      <w:pPr>
        <w:spacing w:after="0" w:line="240" w:lineRule="auto"/>
        <w:rPr>
          <w:rFonts w:ascii="Times New Roman" w:hAnsi="Times New Roman" w:cs="Times New Roman"/>
          <w:sz w:val="24"/>
          <w:szCs w:val="24"/>
        </w:rPr>
      </w:pPr>
      <w:r>
        <w:rPr>
          <w:rFonts w:ascii="Times New Roman" w:hAnsi="Times New Roman" w:cs="Times New Roman"/>
          <w:sz w:val="24"/>
          <w:szCs w:val="24"/>
        </w:rPr>
        <w:t>The pooling structure follows an industry recognized design and was the subject of uncontroverted testimony of Snyder and Doherty, among others.</w:t>
      </w:r>
      <w:r>
        <w:rPr>
          <w:rStyle w:val="EndnoteReference"/>
          <w:rFonts w:ascii="Times New Roman" w:hAnsi="Times New Roman" w:cs="Times New Roman"/>
          <w:sz w:val="24"/>
          <w:szCs w:val="24"/>
        </w:rPr>
        <w:endnoteReference w:id="99"/>
      </w:r>
      <w:r>
        <w:rPr>
          <w:rFonts w:ascii="Times New Roman" w:hAnsi="Times New Roman" w:cs="Times New Roman"/>
          <w:sz w:val="24"/>
          <w:szCs w:val="24"/>
        </w:rPr>
        <w:t xml:space="preserve">  Underpinning the stop loss endorsement was a pricing report </w:t>
      </w:r>
      <w:r w:rsidRPr="001D62D5">
        <w:rPr>
          <w:rFonts w:ascii="Times New Roman" w:hAnsi="Times New Roman" w:cs="Times New Roman"/>
          <w:sz w:val="24"/>
          <w:szCs w:val="24"/>
        </w:rPr>
        <w:t xml:space="preserve">provided by </w:t>
      </w:r>
      <w:r>
        <w:rPr>
          <w:rFonts w:ascii="Times New Roman" w:hAnsi="Times New Roman" w:cs="Times New Roman"/>
          <w:sz w:val="24"/>
          <w:szCs w:val="24"/>
        </w:rPr>
        <w:t xml:space="preserve">a credentialed </w:t>
      </w:r>
      <w:r w:rsidRPr="001D62D5">
        <w:rPr>
          <w:rFonts w:ascii="Times New Roman" w:hAnsi="Times New Roman" w:cs="Times New Roman"/>
          <w:sz w:val="24"/>
          <w:szCs w:val="24"/>
          <w:shd w:val="clear" w:color="auto" w:fill="FFFFFF"/>
        </w:rPr>
        <w:t xml:space="preserve">Fellow of the Casualty Actuarial Society (FCAS) </w:t>
      </w:r>
      <w:r>
        <w:rPr>
          <w:rFonts w:ascii="Times New Roman" w:hAnsi="Times New Roman" w:cs="Times New Roman"/>
          <w:sz w:val="24"/>
          <w:szCs w:val="24"/>
          <w:shd w:val="clear" w:color="auto" w:fill="FFFFFF"/>
        </w:rPr>
        <w:t xml:space="preserve">and member of </w:t>
      </w:r>
      <w:r w:rsidRPr="001D62D5">
        <w:rPr>
          <w:rFonts w:ascii="Times New Roman" w:hAnsi="Times New Roman" w:cs="Times New Roman"/>
          <w:sz w:val="24"/>
          <w:szCs w:val="24"/>
          <w:shd w:val="clear" w:color="auto" w:fill="FFFFFF"/>
        </w:rPr>
        <w:t>the American Academy of Actuaries</w:t>
      </w:r>
      <w:r>
        <w:rPr>
          <w:rFonts w:ascii="Times New Roman" w:hAnsi="Times New Roman" w:cs="Times New Roman"/>
          <w:sz w:val="24"/>
          <w:szCs w:val="24"/>
          <w:shd w:val="clear" w:color="auto" w:fill="FFFFFF"/>
        </w:rPr>
        <w:t>, as set out by unchallenged documentary evidence presented at trial</w:t>
      </w:r>
      <w:r w:rsidRPr="001D62D5">
        <w:rPr>
          <w:rFonts w:ascii="Times New Roman" w:hAnsi="Times New Roman" w:cs="Times New Roman"/>
          <w:sz w:val="24"/>
          <w:szCs w:val="24"/>
          <w:shd w:val="clear" w:color="auto" w:fill="FFFFFF"/>
        </w:rPr>
        <w:t>.</w:t>
      </w:r>
      <w:r>
        <w:rPr>
          <w:rStyle w:val="EndnoteReference"/>
          <w:rFonts w:ascii="Times New Roman" w:hAnsi="Times New Roman" w:cs="Times New Roman"/>
          <w:sz w:val="24"/>
          <w:szCs w:val="24"/>
          <w:shd w:val="clear" w:color="auto" w:fill="FFFFFF"/>
        </w:rPr>
        <w:endnoteReference w:id="100"/>
      </w:r>
      <w:r w:rsidRPr="001D62D5">
        <w:rPr>
          <w:rFonts w:ascii="Times New Roman" w:hAnsi="Times New Roman" w:cs="Times New Roman"/>
          <w:sz w:val="24"/>
          <w:szCs w:val="24"/>
          <w:shd w:val="clear" w:color="auto" w:fill="FFFFFF"/>
        </w:rPr>
        <w:t xml:space="preserve">  </w:t>
      </w:r>
      <w:r w:rsidRPr="001D62D5">
        <w:rPr>
          <w:rFonts w:ascii="Times New Roman" w:hAnsi="Times New Roman" w:cs="Times New Roman"/>
          <w:sz w:val="24"/>
          <w:szCs w:val="24"/>
        </w:rPr>
        <w:t xml:space="preserve">The stop loss endorsement </w:t>
      </w:r>
      <w:r>
        <w:rPr>
          <w:rFonts w:ascii="Times New Roman" w:hAnsi="Times New Roman" w:cs="Times New Roman"/>
          <w:sz w:val="24"/>
          <w:szCs w:val="24"/>
        </w:rPr>
        <w:t xml:space="preserve">and quota share program protected </w:t>
      </w:r>
      <w:r w:rsidRPr="001D62D5">
        <w:rPr>
          <w:rFonts w:ascii="Times New Roman" w:hAnsi="Times New Roman" w:cs="Times New Roman"/>
          <w:sz w:val="24"/>
          <w:szCs w:val="24"/>
        </w:rPr>
        <w:t>Reserve</w:t>
      </w:r>
      <w:r>
        <w:rPr>
          <w:rFonts w:ascii="Times New Roman" w:hAnsi="Times New Roman" w:cs="Times New Roman"/>
          <w:sz w:val="24"/>
          <w:szCs w:val="24"/>
        </w:rPr>
        <w:t xml:space="preserve"> against fortuitous risks for a given monetary tranche, as explained in the feasibility study.</w:t>
      </w:r>
      <w:r>
        <w:rPr>
          <w:rStyle w:val="EndnoteReference"/>
          <w:rFonts w:ascii="Times New Roman" w:hAnsi="Times New Roman" w:cs="Times New Roman"/>
          <w:sz w:val="24"/>
          <w:szCs w:val="24"/>
        </w:rPr>
        <w:endnoteReference w:id="101"/>
      </w:r>
      <w:r>
        <w:rPr>
          <w:rFonts w:ascii="Times New Roman" w:hAnsi="Times New Roman" w:cs="Times New Roman"/>
          <w:sz w:val="24"/>
          <w:szCs w:val="24"/>
        </w:rPr>
        <w:t xml:space="preserve">  Just as a commercial carrier would limit its risk relative to its capitalization to large losses, in a similar manner, </w:t>
      </w:r>
      <w:r w:rsidRPr="001D62D5">
        <w:rPr>
          <w:rFonts w:ascii="Times New Roman" w:hAnsi="Times New Roman" w:cs="Times New Roman"/>
          <w:sz w:val="24"/>
          <w:szCs w:val="24"/>
        </w:rPr>
        <w:t xml:space="preserve">the </w:t>
      </w:r>
      <w:r>
        <w:rPr>
          <w:rFonts w:ascii="Times New Roman" w:hAnsi="Times New Roman" w:cs="Times New Roman"/>
          <w:sz w:val="24"/>
          <w:szCs w:val="24"/>
        </w:rPr>
        <w:t>stop loss endorsement served the same purposes on behalf of Reserve.  At the same time, the quota share program provided risk diversification to its insurance portfolio.  More importantly, there was no evidence presented by the government at trial to controvert the testimony offered by the Wharton School’s Dr. Neil Doherty and Willis’ Robert Snyder, who explained that PoolRe’s pooling arrangement is an industry standard program.</w:t>
      </w:r>
      <w:r>
        <w:rPr>
          <w:rStyle w:val="EndnoteReference"/>
          <w:rFonts w:ascii="Times New Roman" w:hAnsi="Times New Roman" w:cs="Times New Roman"/>
          <w:sz w:val="24"/>
          <w:szCs w:val="24"/>
        </w:rPr>
        <w:endnoteReference w:id="102"/>
      </w:r>
    </w:p>
    <w:p w14:paraId="127F33D2" w14:textId="77777777" w:rsidR="00250577" w:rsidRDefault="00250577" w:rsidP="006818D8">
      <w:pPr>
        <w:spacing w:after="0" w:line="240" w:lineRule="auto"/>
        <w:rPr>
          <w:rFonts w:ascii="Times New Roman" w:hAnsi="Times New Roman" w:cs="Times New Roman"/>
          <w:sz w:val="24"/>
          <w:szCs w:val="24"/>
        </w:rPr>
      </w:pPr>
    </w:p>
    <w:p w14:paraId="34F3C6B2" w14:textId="0EEAAF9E" w:rsidR="00250577" w:rsidRPr="0036725A" w:rsidRDefault="00250577" w:rsidP="006818D8">
      <w:pPr>
        <w:spacing w:after="0" w:line="240" w:lineRule="auto"/>
        <w:rPr>
          <w:rFonts w:ascii="Times New Roman" w:hAnsi="Times New Roman" w:cs="Times New Roman"/>
          <w:sz w:val="24"/>
          <w:szCs w:val="24"/>
        </w:rPr>
      </w:pPr>
      <w:r w:rsidRPr="001D62D5">
        <w:rPr>
          <w:rFonts w:ascii="Times New Roman" w:hAnsi="Times New Roman" w:cs="Times New Roman"/>
          <w:sz w:val="24"/>
          <w:szCs w:val="24"/>
        </w:rPr>
        <w:t xml:space="preserve">All </w:t>
      </w:r>
      <w:r>
        <w:rPr>
          <w:rFonts w:ascii="Times New Roman" w:hAnsi="Times New Roman" w:cs="Times New Roman"/>
          <w:sz w:val="24"/>
          <w:szCs w:val="24"/>
        </w:rPr>
        <w:t xml:space="preserve">of Reserve’s direct written </w:t>
      </w:r>
      <w:r w:rsidRPr="001D62D5">
        <w:rPr>
          <w:rFonts w:ascii="Times New Roman" w:hAnsi="Times New Roman" w:cs="Times New Roman"/>
          <w:sz w:val="24"/>
          <w:szCs w:val="24"/>
        </w:rPr>
        <w:t xml:space="preserve">policies were bound </w:t>
      </w:r>
      <w:r>
        <w:rPr>
          <w:rFonts w:ascii="Times New Roman" w:hAnsi="Times New Roman" w:cs="Times New Roman"/>
          <w:sz w:val="24"/>
          <w:szCs w:val="24"/>
        </w:rPr>
        <w:t xml:space="preserve">only </w:t>
      </w:r>
      <w:r w:rsidRPr="001D62D5">
        <w:rPr>
          <w:rFonts w:ascii="Times New Roman" w:hAnsi="Times New Roman" w:cs="Times New Roman"/>
          <w:sz w:val="24"/>
          <w:szCs w:val="24"/>
        </w:rPr>
        <w:t xml:space="preserve">after </w:t>
      </w:r>
      <w:r>
        <w:rPr>
          <w:rFonts w:ascii="Times New Roman" w:hAnsi="Times New Roman" w:cs="Times New Roman"/>
          <w:sz w:val="24"/>
          <w:szCs w:val="24"/>
        </w:rPr>
        <w:t xml:space="preserve">its </w:t>
      </w:r>
      <w:r w:rsidRPr="001D62D5">
        <w:rPr>
          <w:rFonts w:ascii="Times New Roman" w:hAnsi="Times New Roman" w:cs="Times New Roman"/>
          <w:sz w:val="24"/>
          <w:szCs w:val="24"/>
        </w:rPr>
        <w:t xml:space="preserve">underwriter had </w:t>
      </w:r>
      <w:r>
        <w:rPr>
          <w:rFonts w:ascii="Times New Roman" w:hAnsi="Times New Roman" w:cs="Times New Roman"/>
          <w:sz w:val="24"/>
          <w:szCs w:val="24"/>
        </w:rPr>
        <w:t xml:space="preserve">the benefit of </w:t>
      </w:r>
      <w:r w:rsidRPr="001D62D5">
        <w:rPr>
          <w:rFonts w:ascii="Times New Roman" w:hAnsi="Times New Roman" w:cs="Times New Roman"/>
          <w:sz w:val="24"/>
          <w:szCs w:val="24"/>
        </w:rPr>
        <w:t xml:space="preserve">an on-site inspection of the </w:t>
      </w:r>
      <w:r>
        <w:rPr>
          <w:rFonts w:ascii="Times New Roman" w:hAnsi="Times New Roman" w:cs="Times New Roman"/>
          <w:sz w:val="24"/>
          <w:szCs w:val="24"/>
        </w:rPr>
        <w:t xml:space="preserve">insureds’ </w:t>
      </w:r>
      <w:r w:rsidRPr="001D62D5">
        <w:rPr>
          <w:rFonts w:ascii="Times New Roman" w:hAnsi="Times New Roman" w:cs="Times New Roman"/>
          <w:sz w:val="24"/>
          <w:szCs w:val="24"/>
        </w:rPr>
        <w:t xml:space="preserve">principal facilities in Osborn, Idaho, debriefed the insureds, examined loss histories and commercial coverages and, of course, only after Reserve had been </w:t>
      </w:r>
      <w:r>
        <w:rPr>
          <w:rFonts w:ascii="Times New Roman" w:hAnsi="Times New Roman" w:cs="Times New Roman"/>
          <w:sz w:val="24"/>
          <w:szCs w:val="24"/>
        </w:rPr>
        <w:t xml:space="preserve">formed and was </w:t>
      </w:r>
      <w:r w:rsidRPr="001D62D5">
        <w:rPr>
          <w:rFonts w:ascii="Times New Roman" w:hAnsi="Times New Roman" w:cs="Times New Roman"/>
          <w:sz w:val="24"/>
          <w:szCs w:val="24"/>
        </w:rPr>
        <w:t>fully licensed in its domicile.</w:t>
      </w:r>
      <w:r>
        <w:rPr>
          <w:rStyle w:val="EndnoteReference"/>
          <w:rFonts w:ascii="Times New Roman" w:hAnsi="Times New Roman" w:cs="Times New Roman"/>
          <w:sz w:val="24"/>
          <w:szCs w:val="24"/>
        </w:rPr>
        <w:endnoteReference w:id="103"/>
      </w:r>
      <w:r>
        <w:rPr>
          <w:rFonts w:ascii="Times New Roman" w:hAnsi="Times New Roman" w:cs="Times New Roman"/>
          <w:sz w:val="24"/>
          <w:szCs w:val="24"/>
        </w:rPr>
        <w:t xml:space="preserve">  All 58 unrelated captive insurers participating in the PoolRe administered stop loss and quota share agreements went through similar </w:t>
      </w:r>
      <w:r>
        <w:rPr>
          <w:rFonts w:ascii="Times New Roman" w:hAnsi="Times New Roman" w:cs="Times New Roman"/>
          <w:sz w:val="24"/>
          <w:szCs w:val="24"/>
        </w:rPr>
        <w:lastRenderedPageBreak/>
        <w:t>underwriting requirements prior to being admitted by PoolRe as pool participants as was the subject of McNeel’s testimony.</w:t>
      </w:r>
      <w:r>
        <w:rPr>
          <w:rStyle w:val="EndnoteReference"/>
          <w:rFonts w:ascii="Times New Roman" w:hAnsi="Times New Roman" w:cs="Times New Roman"/>
          <w:sz w:val="24"/>
          <w:szCs w:val="24"/>
        </w:rPr>
        <w:endnoteReference w:id="104"/>
      </w:r>
    </w:p>
    <w:p w14:paraId="071A787A" w14:textId="77777777" w:rsidR="00250577" w:rsidRPr="0036725A" w:rsidRDefault="00250577" w:rsidP="00423874">
      <w:pPr>
        <w:spacing w:after="0" w:line="240" w:lineRule="auto"/>
        <w:rPr>
          <w:rFonts w:ascii="Times New Roman" w:hAnsi="Times New Roman" w:cs="Times New Roman"/>
          <w:sz w:val="24"/>
          <w:szCs w:val="24"/>
        </w:rPr>
      </w:pPr>
    </w:p>
    <w:p w14:paraId="37702F5D" w14:textId="0CBF5D59" w:rsidR="00250577" w:rsidRDefault="00250577" w:rsidP="00825B7C">
      <w:pPr>
        <w:spacing w:after="0" w:line="240" w:lineRule="auto"/>
        <w:rPr>
          <w:rFonts w:ascii="Times New Roman" w:hAnsi="Times New Roman" w:cs="Times New Roman"/>
          <w:sz w:val="24"/>
          <w:szCs w:val="24"/>
        </w:rPr>
      </w:pPr>
      <w:r w:rsidRPr="0036725A">
        <w:rPr>
          <w:rFonts w:ascii="Times New Roman" w:hAnsi="Times New Roman" w:cs="Times New Roman"/>
          <w:sz w:val="24"/>
          <w:szCs w:val="24"/>
        </w:rPr>
        <w:t>PoolRe operated an industry standard pooling arrangement</w:t>
      </w:r>
      <w:r>
        <w:rPr>
          <w:rFonts w:ascii="Times New Roman" w:hAnsi="Times New Roman" w:cs="Times New Roman"/>
          <w:sz w:val="24"/>
          <w:szCs w:val="24"/>
        </w:rPr>
        <w:t xml:space="preserve"> </w:t>
      </w:r>
      <w:r w:rsidRPr="0036725A">
        <w:rPr>
          <w:rFonts w:ascii="Times New Roman" w:hAnsi="Times New Roman" w:cs="Times New Roman"/>
          <w:sz w:val="24"/>
          <w:szCs w:val="24"/>
        </w:rPr>
        <w:t xml:space="preserve">for the mutual benefit of </w:t>
      </w:r>
      <w:r>
        <w:rPr>
          <w:rFonts w:ascii="Times New Roman" w:hAnsi="Times New Roman" w:cs="Times New Roman"/>
          <w:sz w:val="24"/>
          <w:szCs w:val="24"/>
        </w:rPr>
        <w:t xml:space="preserve">hundreds of </w:t>
      </w:r>
      <w:r w:rsidRPr="0036725A">
        <w:rPr>
          <w:rFonts w:ascii="Times New Roman" w:hAnsi="Times New Roman" w:cs="Times New Roman"/>
          <w:sz w:val="24"/>
          <w:szCs w:val="24"/>
        </w:rPr>
        <w:t xml:space="preserve">stop loss </w:t>
      </w:r>
      <w:r>
        <w:rPr>
          <w:rFonts w:ascii="Times New Roman" w:hAnsi="Times New Roman" w:cs="Times New Roman"/>
          <w:sz w:val="24"/>
          <w:szCs w:val="24"/>
        </w:rPr>
        <w:t>insureds</w:t>
      </w:r>
      <w:r w:rsidRPr="0036725A">
        <w:rPr>
          <w:rFonts w:ascii="Times New Roman" w:hAnsi="Times New Roman" w:cs="Times New Roman"/>
          <w:sz w:val="24"/>
          <w:szCs w:val="24"/>
        </w:rPr>
        <w:t xml:space="preserve"> </w:t>
      </w:r>
      <w:r>
        <w:rPr>
          <w:rFonts w:ascii="Times New Roman" w:hAnsi="Times New Roman" w:cs="Times New Roman"/>
          <w:sz w:val="24"/>
          <w:szCs w:val="24"/>
        </w:rPr>
        <w:t>(e.g., more than 200 insureds in 2010) for each year at issue.</w:t>
      </w:r>
      <w:r>
        <w:rPr>
          <w:rStyle w:val="EndnoteReference"/>
          <w:rFonts w:ascii="Times New Roman" w:hAnsi="Times New Roman" w:cs="Times New Roman"/>
          <w:sz w:val="24"/>
          <w:szCs w:val="24"/>
        </w:rPr>
        <w:endnoteReference w:id="105"/>
      </w:r>
      <w:r>
        <w:rPr>
          <w:rFonts w:ascii="Times New Roman" w:hAnsi="Times New Roman" w:cs="Times New Roman"/>
          <w:sz w:val="24"/>
          <w:szCs w:val="24"/>
        </w:rPr>
        <w:t xml:space="preserve">  </w:t>
      </w:r>
      <w:r w:rsidRPr="0069736B">
        <w:rPr>
          <w:rFonts w:ascii="Times New Roman" w:hAnsi="Times New Roman" w:cs="Times New Roman"/>
          <w:sz w:val="24"/>
          <w:szCs w:val="24"/>
        </w:rPr>
        <w:t xml:space="preserve">Under this arrangement, PoolRe’s stop loss endorsements on over 650 stop loss insurance policies </w:t>
      </w:r>
      <w:r>
        <w:rPr>
          <w:rFonts w:ascii="Times New Roman" w:hAnsi="Times New Roman" w:cs="Times New Roman"/>
          <w:sz w:val="24"/>
          <w:szCs w:val="24"/>
        </w:rPr>
        <w:t xml:space="preserve">(in 2010) were </w:t>
      </w:r>
      <w:r w:rsidRPr="0069736B">
        <w:rPr>
          <w:rFonts w:ascii="Times New Roman" w:hAnsi="Times New Roman" w:cs="Times New Roman"/>
          <w:sz w:val="24"/>
          <w:szCs w:val="24"/>
        </w:rPr>
        <w:t xml:space="preserve">reinsured (retroceded) for a premium paid </w:t>
      </w:r>
      <w:r>
        <w:rPr>
          <w:rFonts w:ascii="Times New Roman" w:hAnsi="Times New Roman" w:cs="Times New Roman"/>
          <w:sz w:val="24"/>
          <w:szCs w:val="24"/>
        </w:rPr>
        <w:t xml:space="preserve">by PoolRe </w:t>
      </w:r>
      <w:r w:rsidRPr="0069736B">
        <w:rPr>
          <w:rFonts w:ascii="Times New Roman" w:hAnsi="Times New Roman" w:cs="Times New Roman"/>
          <w:sz w:val="24"/>
          <w:szCs w:val="24"/>
        </w:rPr>
        <w:t xml:space="preserve">to each of 58 participating reinsurers (in 2010), </w:t>
      </w:r>
      <w:r>
        <w:rPr>
          <w:rFonts w:ascii="Times New Roman" w:hAnsi="Times New Roman" w:cs="Times New Roman"/>
          <w:sz w:val="24"/>
          <w:szCs w:val="24"/>
        </w:rPr>
        <w:t xml:space="preserve">with these participating captives being retroceded insurers which </w:t>
      </w:r>
      <w:r w:rsidRPr="0069736B">
        <w:rPr>
          <w:rFonts w:ascii="Times New Roman" w:hAnsi="Times New Roman" w:cs="Times New Roman"/>
          <w:sz w:val="24"/>
          <w:szCs w:val="24"/>
        </w:rPr>
        <w:t>novat</w:t>
      </w:r>
      <w:r>
        <w:rPr>
          <w:rFonts w:ascii="Times New Roman" w:hAnsi="Times New Roman" w:cs="Times New Roman"/>
          <w:sz w:val="24"/>
          <w:szCs w:val="24"/>
        </w:rPr>
        <w:t xml:space="preserve">ed PoolRe’s theretofore </w:t>
      </w:r>
      <w:r w:rsidRPr="0069736B">
        <w:rPr>
          <w:rFonts w:ascii="Times New Roman" w:hAnsi="Times New Roman" w:cs="Times New Roman"/>
          <w:sz w:val="24"/>
          <w:szCs w:val="24"/>
        </w:rPr>
        <w:t>risks</w:t>
      </w:r>
      <w:r>
        <w:rPr>
          <w:rFonts w:ascii="Times New Roman" w:hAnsi="Times New Roman" w:cs="Times New Roman"/>
          <w:sz w:val="24"/>
          <w:szCs w:val="24"/>
        </w:rPr>
        <w:t xml:space="preserve">.  </w:t>
      </w:r>
      <w:r w:rsidRPr="00D375CD">
        <w:rPr>
          <w:rFonts w:ascii="Times New Roman" w:hAnsi="Times New Roman" w:cs="Times New Roman"/>
          <w:sz w:val="24"/>
          <w:szCs w:val="24"/>
        </w:rPr>
        <w:t>PoolRe administer</w:t>
      </w:r>
      <w:r>
        <w:rPr>
          <w:rFonts w:ascii="Times New Roman" w:hAnsi="Times New Roman" w:cs="Times New Roman"/>
          <w:sz w:val="24"/>
          <w:szCs w:val="24"/>
        </w:rPr>
        <w:t>ed</w:t>
      </w:r>
      <w:r w:rsidRPr="00D375CD">
        <w:rPr>
          <w:rFonts w:ascii="Times New Roman" w:hAnsi="Times New Roman" w:cs="Times New Roman"/>
          <w:sz w:val="24"/>
          <w:szCs w:val="24"/>
        </w:rPr>
        <w:t xml:space="preserve"> the pool and </w:t>
      </w:r>
      <w:r>
        <w:rPr>
          <w:rFonts w:ascii="Times New Roman" w:hAnsi="Times New Roman" w:cs="Times New Roman"/>
          <w:sz w:val="24"/>
          <w:szCs w:val="24"/>
        </w:rPr>
        <w:t>held</w:t>
      </w:r>
      <w:r w:rsidRPr="00D375CD">
        <w:rPr>
          <w:rFonts w:ascii="Times New Roman" w:hAnsi="Times New Roman" w:cs="Times New Roman"/>
          <w:sz w:val="24"/>
          <w:szCs w:val="24"/>
        </w:rPr>
        <w:t xml:space="preserve"> many millions of dollars in retention for loss expenses.</w:t>
      </w:r>
      <w:r w:rsidRPr="00D375CD">
        <w:rPr>
          <w:rStyle w:val="EndnoteReference"/>
          <w:rFonts w:ascii="Times New Roman" w:hAnsi="Times New Roman" w:cs="Times New Roman"/>
          <w:sz w:val="24"/>
          <w:szCs w:val="24"/>
        </w:rPr>
        <w:endnoteReference w:id="106"/>
      </w:r>
      <w:r>
        <w:rPr>
          <w:rFonts w:ascii="Times New Roman" w:hAnsi="Times New Roman" w:cs="Times New Roman"/>
          <w:sz w:val="24"/>
          <w:szCs w:val="24"/>
        </w:rPr>
        <w:t xml:space="preserve">  </w:t>
      </w:r>
      <w:r w:rsidRPr="0024702A">
        <w:rPr>
          <w:rFonts w:ascii="Times New Roman" w:hAnsi="Times New Roman" w:cs="Times New Roman"/>
          <w:sz w:val="24"/>
          <w:szCs w:val="24"/>
        </w:rPr>
        <w:t xml:space="preserve">The following diagram depicts the structure of the </w:t>
      </w:r>
      <w:r>
        <w:rPr>
          <w:rFonts w:ascii="Times New Roman" w:hAnsi="Times New Roman" w:cs="Times New Roman"/>
          <w:sz w:val="24"/>
          <w:szCs w:val="24"/>
        </w:rPr>
        <w:t xml:space="preserve">2010 </w:t>
      </w:r>
      <w:r w:rsidRPr="0024702A">
        <w:rPr>
          <w:rFonts w:ascii="Times New Roman" w:hAnsi="Times New Roman" w:cs="Times New Roman"/>
          <w:sz w:val="24"/>
          <w:szCs w:val="24"/>
        </w:rPr>
        <w:t>pooling arrangement</w:t>
      </w:r>
      <w:r>
        <w:rPr>
          <w:rFonts w:ascii="Times New Roman" w:hAnsi="Times New Roman" w:cs="Times New Roman"/>
          <w:sz w:val="24"/>
          <w:szCs w:val="24"/>
        </w:rPr>
        <w:t xml:space="preserve"> </w:t>
      </w:r>
      <w:r w:rsidRPr="0024702A">
        <w:rPr>
          <w:rFonts w:ascii="Times New Roman" w:hAnsi="Times New Roman" w:cs="Times New Roman"/>
          <w:sz w:val="24"/>
          <w:szCs w:val="24"/>
        </w:rPr>
        <w:t xml:space="preserve">as it related to Reserve, </w:t>
      </w:r>
      <w:r>
        <w:rPr>
          <w:rFonts w:ascii="Times New Roman" w:hAnsi="Times New Roman" w:cs="Times New Roman"/>
          <w:sz w:val="24"/>
          <w:szCs w:val="24"/>
        </w:rPr>
        <w:t xml:space="preserve">the Peak </w:t>
      </w:r>
      <w:r w:rsidRPr="0024702A">
        <w:rPr>
          <w:rFonts w:ascii="Times New Roman" w:hAnsi="Times New Roman" w:cs="Times New Roman"/>
          <w:sz w:val="24"/>
          <w:szCs w:val="24"/>
        </w:rPr>
        <w:t xml:space="preserve">insureds, and </w:t>
      </w:r>
      <w:r>
        <w:rPr>
          <w:rFonts w:ascii="Times New Roman" w:hAnsi="Times New Roman" w:cs="Times New Roman"/>
          <w:sz w:val="24"/>
          <w:szCs w:val="24"/>
        </w:rPr>
        <w:t xml:space="preserve">many </w:t>
      </w:r>
      <w:r w:rsidRPr="0024702A">
        <w:rPr>
          <w:rFonts w:ascii="Times New Roman" w:hAnsi="Times New Roman" w:cs="Times New Roman"/>
          <w:sz w:val="24"/>
          <w:szCs w:val="24"/>
        </w:rPr>
        <w:t xml:space="preserve">unaffiliated </w:t>
      </w:r>
      <w:r>
        <w:rPr>
          <w:rFonts w:ascii="Times New Roman" w:hAnsi="Times New Roman" w:cs="Times New Roman"/>
          <w:sz w:val="24"/>
          <w:szCs w:val="24"/>
        </w:rPr>
        <w:t>insureds and captives, showing the premiums exchanged by the relevant parties.</w:t>
      </w:r>
    </w:p>
    <w:p w14:paraId="4D6F76C0" w14:textId="77777777" w:rsidR="00250577" w:rsidRDefault="00250577" w:rsidP="00825B7C">
      <w:pPr>
        <w:spacing w:after="0" w:line="240" w:lineRule="auto"/>
        <w:rPr>
          <w:noProof/>
        </w:rPr>
      </w:pPr>
    </w:p>
    <w:p w14:paraId="6F5CDA00" w14:textId="4B36DEB4" w:rsidR="00250577" w:rsidRDefault="00C91B24" w:rsidP="00825B7C">
      <w:pPr>
        <w:spacing w:after="0" w:line="240" w:lineRule="auto"/>
        <w:rPr>
          <w:noProof/>
        </w:rPr>
      </w:pPr>
      <w:r>
        <w:rPr>
          <w:noProof/>
        </w:rPr>
        <w:drawing>
          <wp:inline distT="0" distB="0" distL="0" distR="0" wp14:anchorId="130A7556" wp14:editId="09C8C6FB">
            <wp:extent cx="5943600" cy="44564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4456430"/>
                    </a:xfrm>
                    <a:prstGeom prst="rect">
                      <a:avLst/>
                    </a:prstGeom>
                  </pic:spPr>
                </pic:pic>
              </a:graphicData>
            </a:graphic>
          </wp:inline>
        </w:drawing>
      </w:r>
    </w:p>
    <w:p w14:paraId="3A502375" w14:textId="77777777" w:rsidR="00250577" w:rsidRDefault="00250577" w:rsidP="00825B7C">
      <w:pPr>
        <w:spacing w:after="0" w:line="240" w:lineRule="auto"/>
        <w:rPr>
          <w:noProof/>
        </w:rPr>
      </w:pPr>
    </w:p>
    <w:p w14:paraId="65D5E4DD" w14:textId="0E54AC4A" w:rsidR="00250577" w:rsidRPr="006F1985" w:rsidRDefault="00250577" w:rsidP="00825B7C">
      <w:pPr>
        <w:spacing w:after="0" w:line="240" w:lineRule="auto"/>
        <w:rPr>
          <w:rFonts w:ascii="Times New Roman" w:hAnsi="Times New Roman" w:cs="Times New Roman"/>
          <w:sz w:val="24"/>
          <w:szCs w:val="24"/>
        </w:rPr>
      </w:pPr>
      <w:r w:rsidRPr="00D375CD">
        <w:rPr>
          <w:rFonts w:ascii="Times New Roman" w:hAnsi="Times New Roman" w:cs="Times New Roman"/>
          <w:sz w:val="24"/>
          <w:szCs w:val="24"/>
        </w:rPr>
        <w:t xml:space="preserve">Although no legal requirement </w:t>
      </w:r>
      <w:r>
        <w:rPr>
          <w:rFonts w:ascii="Times New Roman" w:hAnsi="Times New Roman" w:cs="Times New Roman"/>
          <w:sz w:val="24"/>
          <w:szCs w:val="24"/>
        </w:rPr>
        <w:t xml:space="preserve">exists </w:t>
      </w:r>
      <w:r w:rsidRPr="00D375CD">
        <w:rPr>
          <w:rFonts w:ascii="Times New Roman" w:hAnsi="Times New Roman" w:cs="Times New Roman"/>
          <w:sz w:val="24"/>
          <w:szCs w:val="24"/>
        </w:rPr>
        <w:t xml:space="preserve">in any jurisdiction or under U.S. tax law </w:t>
      </w:r>
      <w:r>
        <w:rPr>
          <w:rFonts w:ascii="Times New Roman" w:hAnsi="Times New Roman" w:cs="Times New Roman"/>
          <w:sz w:val="24"/>
          <w:szCs w:val="24"/>
        </w:rPr>
        <w:t xml:space="preserve">for a pool to be a </w:t>
      </w:r>
      <w:r w:rsidRPr="00D375CD">
        <w:rPr>
          <w:rFonts w:ascii="Times New Roman" w:hAnsi="Times New Roman" w:cs="Times New Roman"/>
          <w:sz w:val="24"/>
          <w:szCs w:val="24"/>
        </w:rPr>
        <w:t>licensed insurer</w:t>
      </w:r>
      <w:r>
        <w:rPr>
          <w:rFonts w:ascii="Times New Roman" w:hAnsi="Times New Roman" w:cs="Times New Roman"/>
          <w:sz w:val="24"/>
          <w:szCs w:val="24"/>
        </w:rPr>
        <w:t xml:space="preserve"> or for the pool to function through the issuance of “insurance policies” (as opposed to functioning as a non-insurance, but contractual, risk sharing arrangement)</w:t>
      </w:r>
      <w:r w:rsidRPr="00D375CD">
        <w:rPr>
          <w:rFonts w:ascii="Times New Roman" w:hAnsi="Times New Roman" w:cs="Times New Roman"/>
          <w:sz w:val="24"/>
          <w:szCs w:val="24"/>
        </w:rPr>
        <w:t>, PoolRe in fact was a long</w:t>
      </w:r>
      <w:r>
        <w:rPr>
          <w:rFonts w:ascii="Times New Roman" w:hAnsi="Times New Roman" w:cs="Times New Roman"/>
          <w:sz w:val="24"/>
          <w:szCs w:val="24"/>
        </w:rPr>
        <w:t>-</w:t>
      </w:r>
      <w:r w:rsidRPr="00D375CD">
        <w:rPr>
          <w:rFonts w:ascii="Times New Roman" w:hAnsi="Times New Roman" w:cs="Times New Roman"/>
          <w:sz w:val="24"/>
          <w:szCs w:val="24"/>
        </w:rPr>
        <w:t>standing licensed insurer under the laws of the British Overseas Territory of Anguilla</w:t>
      </w:r>
      <w:r>
        <w:rPr>
          <w:rFonts w:ascii="Times New Roman" w:hAnsi="Times New Roman" w:cs="Times New Roman"/>
          <w:sz w:val="24"/>
          <w:szCs w:val="24"/>
        </w:rPr>
        <w:t>.</w:t>
      </w:r>
      <w:r w:rsidRPr="00D375CD">
        <w:rPr>
          <w:rFonts w:ascii="Times New Roman" w:hAnsi="Times New Roman" w:cs="Times New Roman"/>
          <w:sz w:val="24"/>
          <w:szCs w:val="24"/>
        </w:rPr>
        <w:t xml:space="preserve"> </w:t>
      </w:r>
      <w:r>
        <w:rPr>
          <w:rFonts w:ascii="Times New Roman" w:hAnsi="Times New Roman" w:cs="Times New Roman"/>
          <w:sz w:val="24"/>
          <w:szCs w:val="24"/>
        </w:rPr>
        <w:t xml:space="preserve"> The uncontroverted evidence at trial was that Anguilla’s laws were of a similar rigor to that of, by way of example, Delaware.  Two </w:t>
      </w:r>
      <w:r w:rsidRPr="006F1985">
        <w:rPr>
          <w:rFonts w:ascii="Times New Roman" w:hAnsi="Times New Roman" w:cs="Times New Roman"/>
          <w:sz w:val="24"/>
          <w:szCs w:val="24"/>
        </w:rPr>
        <w:t>witnesses testified to the fact that PoolRe was an insurance company licensed by a territory of the United Kingdom during all years at issue.</w:t>
      </w:r>
      <w:r w:rsidRPr="006F1985">
        <w:rPr>
          <w:rStyle w:val="EndnoteReference"/>
          <w:rFonts w:ascii="Times New Roman" w:hAnsi="Times New Roman" w:cs="Times New Roman"/>
          <w:sz w:val="24"/>
          <w:szCs w:val="24"/>
        </w:rPr>
        <w:endnoteReference w:id="107"/>
      </w:r>
      <w:r w:rsidRPr="006F1985">
        <w:rPr>
          <w:rFonts w:ascii="Times New Roman" w:hAnsi="Times New Roman" w:cs="Times New Roman"/>
          <w:sz w:val="24"/>
          <w:szCs w:val="24"/>
        </w:rPr>
        <w:t xml:space="preserve">  No </w:t>
      </w:r>
      <w:r w:rsidRPr="006F1985">
        <w:rPr>
          <w:rFonts w:ascii="Times New Roman" w:hAnsi="Times New Roman" w:cs="Times New Roman"/>
          <w:sz w:val="24"/>
          <w:szCs w:val="24"/>
        </w:rPr>
        <w:lastRenderedPageBreak/>
        <w:t xml:space="preserve">witness </w:t>
      </w:r>
      <w:r>
        <w:rPr>
          <w:rFonts w:ascii="Times New Roman" w:hAnsi="Times New Roman" w:cs="Times New Roman"/>
          <w:sz w:val="24"/>
          <w:szCs w:val="24"/>
        </w:rPr>
        <w:t xml:space="preserve">ever controverted such.  Despite no challenge as to PoolRe being a UK-territory licensed insurer for all years at issue, the Court </w:t>
      </w:r>
      <w:r w:rsidRPr="00A314C1">
        <w:rPr>
          <w:rFonts w:ascii="Times New Roman" w:hAnsi="Times New Roman" w:cs="Times New Roman"/>
          <w:i/>
          <w:sz w:val="24"/>
          <w:szCs w:val="24"/>
        </w:rPr>
        <w:t>sua sponte</w:t>
      </w:r>
      <w:r>
        <w:rPr>
          <w:rFonts w:ascii="Times New Roman" w:hAnsi="Times New Roman" w:cs="Times New Roman"/>
          <w:sz w:val="24"/>
          <w:szCs w:val="24"/>
        </w:rPr>
        <w:t xml:space="preserve"> held that only two years of actual, physical licenses were “in evidence” in rejecting the otherwise uncontroverted and unchallenged at trial as to PoolRe’s licensing and regulation for the years at issue (2008</w:t>
      </w:r>
      <w:r w:rsidR="00FB1AEF">
        <w:rPr>
          <w:rFonts w:ascii="Times New Roman" w:hAnsi="Times New Roman" w:cs="Times New Roman"/>
          <w:sz w:val="24"/>
          <w:szCs w:val="24"/>
        </w:rPr>
        <w:t xml:space="preserve"> </w:t>
      </w:r>
      <w:r>
        <w:rPr>
          <w:rFonts w:ascii="Times New Roman" w:hAnsi="Times New Roman" w:cs="Times New Roman"/>
          <w:sz w:val="24"/>
          <w:szCs w:val="24"/>
        </w:rPr>
        <w:t>-</w:t>
      </w:r>
      <w:r w:rsidR="00FB1AEF">
        <w:rPr>
          <w:rFonts w:ascii="Times New Roman" w:hAnsi="Times New Roman" w:cs="Times New Roman"/>
          <w:sz w:val="24"/>
          <w:szCs w:val="24"/>
        </w:rPr>
        <w:t xml:space="preserve"> </w:t>
      </w:r>
      <w:r>
        <w:rPr>
          <w:rFonts w:ascii="Times New Roman" w:hAnsi="Times New Roman" w:cs="Times New Roman"/>
          <w:sz w:val="24"/>
          <w:szCs w:val="24"/>
        </w:rPr>
        <w:t>2010).</w:t>
      </w:r>
      <w:r>
        <w:rPr>
          <w:rStyle w:val="EndnoteReference"/>
          <w:rFonts w:ascii="Times New Roman" w:hAnsi="Times New Roman" w:cs="Times New Roman"/>
          <w:sz w:val="24"/>
          <w:szCs w:val="24"/>
        </w:rPr>
        <w:endnoteReference w:id="108"/>
      </w:r>
    </w:p>
    <w:p w14:paraId="59B9E992" w14:textId="77777777" w:rsidR="00250577" w:rsidRPr="006F1985" w:rsidRDefault="00250577" w:rsidP="00825B7C">
      <w:pPr>
        <w:spacing w:after="0" w:line="240" w:lineRule="auto"/>
        <w:rPr>
          <w:rFonts w:ascii="Times New Roman" w:hAnsi="Times New Roman" w:cs="Times New Roman"/>
          <w:sz w:val="24"/>
          <w:szCs w:val="24"/>
        </w:rPr>
      </w:pPr>
    </w:p>
    <w:p w14:paraId="4C426679" w14:textId="218B391D" w:rsidR="00250577" w:rsidRDefault="00250577" w:rsidP="00825B7C">
      <w:pPr>
        <w:spacing w:after="0" w:line="240" w:lineRule="auto"/>
        <w:rPr>
          <w:rFonts w:ascii="Times New Roman" w:hAnsi="Times New Roman" w:cs="Times New Roman"/>
          <w:sz w:val="24"/>
          <w:szCs w:val="24"/>
        </w:rPr>
      </w:pPr>
      <w:r w:rsidRPr="004F169F">
        <w:rPr>
          <w:rFonts w:ascii="Times New Roman" w:hAnsi="Times New Roman" w:cs="Times New Roman"/>
          <w:sz w:val="24"/>
          <w:szCs w:val="24"/>
        </w:rPr>
        <w:t>Despite a lack of contravening testimony – for example, no expert including not even the government’s sole expert</w:t>
      </w:r>
      <w:r>
        <w:rPr>
          <w:rFonts w:ascii="Times New Roman" w:hAnsi="Times New Roman" w:cs="Times New Roman"/>
          <w:sz w:val="24"/>
          <w:szCs w:val="24"/>
        </w:rPr>
        <w:t xml:space="preserve"> testified</w:t>
      </w:r>
      <w:r w:rsidRPr="004F169F">
        <w:rPr>
          <w:rFonts w:ascii="Times New Roman" w:hAnsi="Times New Roman" w:cs="Times New Roman"/>
          <w:sz w:val="24"/>
          <w:szCs w:val="24"/>
        </w:rPr>
        <w:t xml:space="preserve"> – that PoolRe was anything but a</w:t>
      </w:r>
      <w:r>
        <w:rPr>
          <w:rFonts w:ascii="Times New Roman" w:hAnsi="Times New Roman" w:cs="Times New Roman"/>
          <w:sz w:val="24"/>
          <w:szCs w:val="24"/>
        </w:rPr>
        <w:t xml:space="preserve"> licensed </w:t>
      </w:r>
      <w:r w:rsidRPr="004F169F">
        <w:rPr>
          <w:rFonts w:ascii="Times New Roman" w:hAnsi="Times New Roman" w:cs="Times New Roman"/>
          <w:sz w:val="24"/>
          <w:szCs w:val="24"/>
        </w:rPr>
        <w:t>insurance company</w:t>
      </w:r>
      <w:r>
        <w:rPr>
          <w:rFonts w:ascii="Times New Roman" w:hAnsi="Times New Roman" w:cs="Times New Roman"/>
          <w:sz w:val="24"/>
          <w:szCs w:val="24"/>
        </w:rPr>
        <w:t xml:space="preserve"> for all years at issue –</w:t>
      </w:r>
      <w:r w:rsidRPr="004F169F">
        <w:rPr>
          <w:rFonts w:ascii="Times New Roman" w:hAnsi="Times New Roman" w:cs="Times New Roman"/>
          <w:sz w:val="24"/>
          <w:szCs w:val="24"/>
        </w:rPr>
        <w:t xml:space="preserve"> the Court concluded </w:t>
      </w:r>
      <w:r w:rsidRPr="00764B99">
        <w:rPr>
          <w:rFonts w:ascii="Times New Roman" w:hAnsi="Times New Roman" w:cs="Times New Roman"/>
          <w:i/>
          <w:sz w:val="24"/>
          <w:szCs w:val="24"/>
        </w:rPr>
        <w:t>sua sponte</w:t>
      </w:r>
      <w:r>
        <w:rPr>
          <w:rFonts w:ascii="Times New Roman" w:hAnsi="Times New Roman" w:cs="Times New Roman"/>
          <w:sz w:val="24"/>
          <w:szCs w:val="24"/>
        </w:rPr>
        <w:t xml:space="preserve"> </w:t>
      </w:r>
      <w:r w:rsidRPr="004F169F">
        <w:rPr>
          <w:rFonts w:ascii="Times New Roman" w:hAnsi="Times New Roman" w:cs="Times New Roman"/>
          <w:sz w:val="24"/>
          <w:szCs w:val="24"/>
        </w:rPr>
        <w:t xml:space="preserve">without </w:t>
      </w:r>
      <w:r>
        <w:rPr>
          <w:rFonts w:ascii="Times New Roman" w:hAnsi="Times New Roman" w:cs="Times New Roman"/>
          <w:sz w:val="24"/>
          <w:szCs w:val="24"/>
        </w:rPr>
        <w:t xml:space="preserve">jurisdiction over non-party </w:t>
      </w:r>
      <w:r w:rsidRPr="004F169F">
        <w:rPr>
          <w:rFonts w:ascii="Times New Roman" w:hAnsi="Times New Roman" w:cs="Times New Roman"/>
          <w:sz w:val="24"/>
          <w:szCs w:val="24"/>
        </w:rPr>
        <w:t xml:space="preserve">PoolRe </w:t>
      </w:r>
      <w:r>
        <w:rPr>
          <w:rFonts w:ascii="Times New Roman" w:hAnsi="Times New Roman" w:cs="Times New Roman"/>
          <w:sz w:val="24"/>
          <w:szCs w:val="24"/>
        </w:rPr>
        <w:t xml:space="preserve">that it </w:t>
      </w:r>
      <w:r w:rsidRPr="004F169F">
        <w:rPr>
          <w:rFonts w:ascii="Times New Roman" w:hAnsi="Times New Roman" w:cs="Times New Roman"/>
          <w:sz w:val="24"/>
          <w:szCs w:val="24"/>
        </w:rPr>
        <w:t>was not an</w:t>
      </w:r>
      <w:r>
        <w:rPr>
          <w:rFonts w:ascii="Times New Roman" w:hAnsi="Times New Roman" w:cs="Times New Roman"/>
          <w:sz w:val="24"/>
          <w:szCs w:val="24"/>
        </w:rPr>
        <w:t xml:space="preserve"> insurance company under U.S. tax law,</w:t>
      </w:r>
      <w:r>
        <w:rPr>
          <w:rStyle w:val="EndnoteReference"/>
          <w:rFonts w:ascii="Times New Roman" w:hAnsi="Times New Roman" w:cs="Times New Roman"/>
          <w:sz w:val="24"/>
          <w:szCs w:val="24"/>
        </w:rPr>
        <w:endnoteReference w:id="109"/>
      </w:r>
      <w:r>
        <w:rPr>
          <w:rFonts w:ascii="Times New Roman" w:hAnsi="Times New Roman" w:cs="Times New Roman"/>
          <w:sz w:val="24"/>
          <w:szCs w:val="24"/>
        </w:rPr>
        <w:t xml:space="preserve"> while also </w:t>
      </w:r>
      <w:r w:rsidRPr="005400D4">
        <w:rPr>
          <w:rFonts w:ascii="Times New Roman" w:hAnsi="Times New Roman" w:cs="Times New Roman"/>
          <w:sz w:val="24"/>
          <w:szCs w:val="24"/>
        </w:rPr>
        <w:t>conclud</w:t>
      </w:r>
      <w:r>
        <w:rPr>
          <w:rFonts w:ascii="Times New Roman" w:hAnsi="Times New Roman" w:cs="Times New Roman"/>
          <w:sz w:val="24"/>
          <w:szCs w:val="24"/>
        </w:rPr>
        <w:t>ing</w:t>
      </w:r>
      <w:r w:rsidRPr="005400D4">
        <w:rPr>
          <w:rFonts w:ascii="Times New Roman" w:hAnsi="Times New Roman" w:cs="Times New Roman"/>
          <w:sz w:val="24"/>
          <w:szCs w:val="24"/>
        </w:rPr>
        <w:t xml:space="preserve"> </w:t>
      </w:r>
      <w:r>
        <w:rPr>
          <w:rFonts w:ascii="Times New Roman" w:hAnsi="Times New Roman" w:cs="Times New Roman"/>
          <w:sz w:val="24"/>
          <w:szCs w:val="24"/>
        </w:rPr>
        <w:t xml:space="preserve">not only without precedent (except for </w:t>
      </w:r>
      <w:r w:rsidRPr="00511C0F">
        <w:rPr>
          <w:rFonts w:ascii="Times New Roman" w:hAnsi="Times New Roman" w:cs="Times New Roman"/>
          <w:i/>
          <w:sz w:val="24"/>
          <w:szCs w:val="24"/>
        </w:rPr>
        <w:t>Avrahami</w:t>
      </w:r>
      <w:r>
        <w:rPr>
          <w:rFonts w:ascii="Times New Roman" w:hAnsi="Times New Roman" w:cs="Times New Roman"/>
          <w:sz w:val="24"/>
          <w:szCs w:val="24"/>
        </w:rPr>
        <w:t xml:space="preserve">) but also contrary to the existing precedent, </w:t>
      </w:r>
      <w:r w:rsidRPr="005400D4">
        <w:rPr>
          <w:rFonts w:ascii="Times New Roman" w:hAnsi="Times New Roman" w:cs="Times New Roman"/>
          <w:sz w:val="24"/>
          <w:szCs w:val="24"/>
        </w:rPr>
        <w:t xml:space="preserve">that a pooling arrangement had to be done </w:t>
      </w:r>
      <w:r>
        <w:rPr>
          <w:rFonts w:ascii="Times New Roman" w:hAnsi="Times New Roman" w:cs="Times New Roman"/>
          <w:sz w:val="24"/>
          <w:szCs w:val="24"/>
        </w:rPr>
        <w:t xml:space="preserve">as an insurance arrangement and </w:t>
      </w:r>
      <w:r w:rsidRPr="005400D4">
        <w:rPr>
          <w:rFonts w:ascii="Times New Roman" w:hAnsi="Times New Roman" w:cs="Times New Roman"/>
          <w:sz w:val="24"/>
          <w:szCs w:val="24"/>
        </w:rPr>
        <w:t>within a bona fide insurance company for U.S. tax law.</w:t>
      </w:r>
      <w:r>
        <w:rPr>
          <w:rStyle w:val="EndnoteReference"/>
          <w:rFonts w:ascii="Times New Roman" w:hAnsi="Times New Roman" w:cs="Times New Roman"/>
          <w:sz w:val="24"/>
          <w:szCs w:val="24"/>
        </w:rPr>
        <w:endnoteReference w:id="110"/>
      </w:r>
      <w:r>
        <w:rPr>
          <w:rFonts w:ascii="Times New Roman" w:hAnsi="Times New Roman" w:cs="Times New Roman"/>
          <w:sz w:val="24"/>
          <w:szCs w:val="24"/>
        </w:rPr>
        <w:t xml:space="preserve">  Not surprisingly, the Court could not cite to another basis for its newly created position and could not cite to evidence from the </w:t>
      </w:r>
      <w:r w:rsidRPr="00511C0F">
        <w:rPr>
          <w:rFonts w:ascii="Times New Roman" w:hAnsi="Times New Roman" w:cs="Times New Roman"/>
          <w:i/>
          <w:sz w:val="24"/>
          <w:szCs w:val="24"/>
        </w:rPr>
        <w:t>Reserve</w:t>
      </w:r>
      <w:r>
        <w:rPr>
          <w:rFonts w:ascii="Times New Roman" w:hAnsi="Times New Roman" w:cs="Times New Roman"/>
          <w:sz w:val="24"/>
          <w:szCs w:val="24"/>
        </w:rPr>
        <w:t xml:space="preserve"> trial because this was not even a contested issue.  </w:t>
      </w:r>
    </w:p>
    <w:p w14:paraId="2A620108" w14:textId="16CFCBEF" w:rsidR="00250577" w:rsidRDefault="00250577" w:rsidP="00825B7C">
      <w:pPr>
        <w:spacing w:after="0" w:line="240" w:lineRule="auto"/>
        <w:rPr>
          <w:rFonts w:ascii="Times New Roman" w:hAnsi="Times New Roman" w:cs="Times New Roman"/>
          <w:sz w:val="24"/>
          <w:szCs w:val="24"/>
        </w:rPr>
      </w:pPr>
    </w:p>
    <w:p w14:paraId="0CCE57EA" w14:textId="765292B0" w:rsidR="00250577" w:rsidRDefault="00250577" w:rsidP="00825B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Among the reasons that PoolRe’s status as a “bona fide insurance company” for tax purposes was not an issue at trial was that, as explained above, as of the date of the </w:t>
      </w:r>
      <w:r w:rsidRPr="001F2229">
        <w:rPr>
          <w:rFonts w:ascii="Times New Roman" w:hAnsi="Times New Roman" w:cs="Times New Roman"/>
          <w:i/>
          <w:sz w:val="24"/>
          <w:szCs w:val="24"/>
        </w:rPr>
        <w:t>Reserve</w:t>
      </w:r>
      <w:r>
        <w:rPr>
          <w:rFonts w:ascii="Times New Roman" w:hAnsi="Times New Roman" w:cs="Times New Roman"/>
          <w:sz w:val="24"/>
          <w:szCs w:val="24"/>
        </w:rPr>
        <w:t xml:space="preserve"> trial, no precedent existed for applying this </w:t>
      </w:r>
      <w:r w:rsidRPr="00085AB7">
        <w:rPr>
          <w:rFonts w:ascii="Times New Roman" w:hAnsi="Times New Roman" w:cs="Times New Roman"/>
          <w:sz w:val="24"/>
          <w:szCs w:val="24"/>
        </w:rPr>
        <w:t xml:space="preserve">requisite </w:t>
      </w:r>
      <w:r>
        <w:rPr>
          <w:rFonts w:ascii="Times New Roman" w:hAnsi="Times New Roman" w:cs="Times New Roman"/>
          <w:sz w:val="24"/>
          <w:szCs w:val="24"/>
        </w:rPr>
        <w:t>to</w:t>
      </w:r>
      <w:r w:rsidRPr="00085AB7">
        <w:rPr>
          <w:rFonts w:ascii="Times New Roman" w:hAnsi="Times New Roman" w:cs="Times New Roman"/>
          <w:sz w:val="24"/>
          <w:szCs w:val="24"/>
        </w:rPr>
        <w:t xml:space="preserve"> a pooling arrangement</w:t>
      </w:r>
      <w:r>
        <w:rPr>
          <w:rStyle w:val="EndnoteReference"/>
          <w:rFonts w:ascii="Times New Roman" w:hAnsi="Times New Roman" w:cs="Times New Roman"/>
          <w:sz w:val="24"/>
          <w:szCs w:val="24"/>
        </w:rPr>
        <w:endnoteReference w:id="111"/>
      </w:r>
      <w:r>
        <w:rPr>
          <w:rFonts w:ascii="Times New Roman" w:hAnsi="Times New Roman" w:cs="Times New Roman"/>
          <w:sz w:val="24"/>
          <w:szCs w:val="24"/>
        </w:rPr>
        <w:t xml:space="preserve"> and solid precedent existed to the contrary.</w:t>
      </w:r>
    </w:p>
    <w:p w14:paraId="630F74D6" w14:textId="77777777" w:rsidR="00250577" w:rsidRDefault="00250577" w:rsidP="00825B7C">
      <w:pPr>
        <w:spacing w:after="0" w:line="240" w:lineRule="auto"/>
        <w:rPr>
          <w:rFonts w:ascii="Times New Roman" w:hAnsi="Times New Roman" w:cs="Times New Roman"/>
          <w:sz w:val="24"/>
          <w:szCs w:val="24"/>
        </w:rPr>
      </w:pPr>
    </w:p>
    <w:p w14:paraId="630224DC" w14:textId="607A1A2F" w:rsidR="00250577" w:rsidRDefault="00250577" w:rsidP="00473F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Court’s holding requiring a pooling arrangement to be recognized as a “bona fide insurance company” for tax purposes tracks </w:t>
      </w:r>
      <w:r w:rsidRPr="00615819">
        <w:rPr>
          <w:rFonts w:ascii="Times New Roman" w:hAnsi="Times New Roman" w:cs="Times New Roman"/>
          <w:sz w:val="24"/>
          <w:szCs w:val="24"/>
        </w:rPr>
        <w:t xml:space="preserve">the </w:t>
      </w:r>
      <w:r>
        <w:rPr>
          <w:rFonts w:ascii="Times New Roman" w:hAnsi="Times New Roman" w:cs="Times New Roman"/>
          <w:sz w:val="24"/>
          <w:szCs w:val="24"/>
        </w:rPr>
        <w:t xml:space="preserve">erroneous </w:t>
      </w:r>
      <w:r w:rsidRPr="00615819">
        <w:rPr>
          <w:rFonts w:ascii="Times New Roman" w:hAnsi="Times New Roman" w:cs="Times New Roman"/>
          <w:sz w:val="24"/>
          <w:szCs w:val="24"/>
        </w:rPr>
        <w:t>legal</w:t>
      </w:r>
      <w:r>
        <w:rPr>
          <w:rFonts w:ascii="Times New Roman" w:hAnsi="Times New Roman" w:cs="Times New Roman"/>
          <w:sz w:val="24"/>
          <w:szCs w:val="24"/>
        </w:rPr>
        <w:t xml:space="preserve"> standard first introduced in August 2017 in </w:t>
      </w:r>
      <w:r w:rsidRPr="00A2496C">
        <w:rPr>
          <w:rFonts w:ascii="Times New Roman" w:hAnsi="Times New Roman" w:cs="Times New Roman"/>
          <w:i/>
          <w:sz w:val="24"/>
          <w:szCs w:val="24"/>
        </w:rPr>
        <w:t>Avrahami</w:t>
      </w:r>
      <w:r>
        <w:rPr>
          <w:rFonts w:ascii="Times New Roman" w:hAnsi="Times New Roman" w:cs="Times New Roman"/>
          <w:i/>
          <w:sz w:val="24"/>
          <w:szCs w:val="24"/>
        </w:rPr>
        <w:t>,</w:t>
      </w:r>
      <w:r>
        <w:rPr>
          <w:rFonts w:ascii="Times New Roman" w:hAnsi="Times New Roman" w:cs="Times New Roman"/>
          <w:sz w:val="24"/>
          <w:szCs w:val="24"/>
        </w:rPr>
        <w:t xml:space="preserve"> which was decided more than three months </w:t>
      </w:r>
      <w:r w:rsidRPr="004A346D">
        <w:rPr>
          <w:rFonts w:ascii="Times New Roman" w:hAnsi="Times New Roman" w:cs="Times New Roman"/>
          <w:b/>
          <w:i/>
          <w:sz w:val="24"/>
          <w:szCs w:val="24"/>
        </w:rPr>
        <w:t>after</w:t>
      </w:r>
      <w:r>
        <w:rPr>
          <w:rFonts w:ascii="Times New Roman" w:hAnsi="Times New Roman" w:cs="Times New Roman"/>
          <w:sz w:val="24"/>
          <w:szCs w:val="24"/>
        </w:rPr>
        <w:t xml:space="preserve"> the </w:t>
      </w:r>
      <w:r w:rsidRPr="00CA1BBE">
        <w:rPr>
          <w:rFonts w:ascii="Times New Roman" w:hAnsi="Times New Roman" w:cs="Times New Roman"/>
          <w:sz w:val="24"/>
          <w:szCs w:val="24"/>
        </w:rPr>
        <w:t xml:space="preserve">trial in the Reserve trial concluded.  </w:t>
      </w:r>
      <w:r w:rsidRPr="00CA1BBE">
        <w:rPr>
          <w:rFonts w:ascii="Times New Roman" w:hAnsi="Times New Roman" w:cs="Times New Roman"/>
          <w:b/>
          <w:i/>
          <w:sz w:val="24"/>
          <w:szCs w:val="24"/>
        </w:rPr>
        <w:t xml:space="preserve">This issue is discussed in this commentary beginning at page </w:t>
      </w:r>
      <w:r w:rsidR="00CA1BBE" w:rsidRPr="00CA1BBE">
        <w:rPr>
          <w:rFonts w:ascii="Times New Roman" w:hAnsi="Times New Roman" w:cs="Times New Roman"/>
          <w:b/>
          <w:i/>
          <w:sz w:val="24"/>
          <w:szCs w:val="24"/>
        </w:rPr>
        <w:t>26</w:t>
      </w:r>
      <w:r w:rsidRPr="00CA1BBE">
        <w:rPr>
          <w:rFonts w:ascii="Times New Roman" w:hAnsi="Times New Roman" w:cs="Times New Roman"/>
          <w:sz w:val="24"/>
          <w:szCs w:val="24"/>
        </w:rPr>
        <w:t xml:space="preserve">.  There was no testimony or analysis supporting these positions calling for a pooling arrangement to be carried out by an insurer, which not only went beyond the trial record in </w:t>
      </w:r>
      <w:r w:rsidRPr="00CA1BBE">
        <w:rPr>
          <w:rFonts w:ascii="Times New Roman" w:hAnsi="Times New Roman" w:cs="Times New Roman"/>
          <w:i/>
          <w:sz w:val="24"/>
          <w:szCs w:val="24"/>
        </w:rPr>
        <w:t>Reserve</w:t>
      </w:r>
      <w:r w:rsidRPr="00CA1BBE">
        <w:rPr>
          <w:rFonts w:ascii="Times New Roman" w:hAnsi="Times New Roman" w:cs="Times New Roman"/>
          <w:sz w:val="24"/>
          <w:szCs w:val="24"/>
        </w:rPr>
        <w:t xml:space="preserve"> but implicitly determined that decades of insurance industry practice continuing to this</w:t>
      </w:r>
      <w:r>
        <w:rPr>
          <w:rFonts w:ascii="Times New Roman" w:hAnsi="Times New Roman" w:cs="Times New Roman"/>
          <w:sz w:val="24"/>
          <w:szCs w:val="24"/>
        </w:rPr>
        <w:t xml:space="preserve"> day are erroneous.  The Court appeared determined to shoehorn </w:t>
      </w:r>
      <w:r w:rsidRPr="005E6307">
        <w:rPr>
          <w:rFonts w:ascii="Times New Roman" w:hAnsi="Times New Roman" w:cs="Times New Roman"/>
          <w:i/>
          <w:sz w:val="24"/>
          <w:szCs w:val="24"/>
        </w:rPr>
        <w:t>Reserve</w:t>
      </w:r>
      <w:r>
        <w:rPr>
          <w:rFonts w:ascii="Times New Roman" w:hAnsi="Times New Roman" w:cs="Times New Roman"/>
          <w:sz w:val="24"/>
          <w:szCs w:val="24"/>
        </w:rPr>
        <w:t xml:space="preserve"> into the </w:t>
      </w:r>
      <w:r w:rsidRPr="005E6307">
        <w:rPr>
          <w:rFonts w:ascii="Times New Roman" w:hAnsi="Times New Roman" w:cs="Times New Roman"/>
          <w:i/>
          <w:sz w:val="24"/>
          <w:szCs w:val="24"/>
        </w:rPr>
        <w:t>Avrahami</w:t>
      </w:r>
      <w:r>
        <w:rPr>
          <w:rFonts w:ascii="Times New Roman" w:hAnsi="Times New Roman" w:cs="Times New Roman"/>
          <w:sz w:val="24"/>
          <w:szCs w:val="24"/>
        </w:rPr>
        <w:t xml:space="preserve"> case without regard to the evidence presented, the issues in dispute or existing law.</w:t>
      </w:r>
    </w:p>
    <w:p w14:paraId="644CF412" w14:textId="162A1325" w:rsidR="00250577" w:rsidRDefault="00250577" w:rsidP="00473FD3">
      <w:pPr>
        <w:spacing w:after="0" w:line="240" w:lineRule="auto"/>
        <w:rPr>
          <w:rFonts w:ascii="Times New Roman" w:hAnsi="Times New Roman" w:cs="Times New Roman"/>
          <w:sz w:val="24"/>
          <w:szCs w:val="24"/>
        </w:rPr>
      </w:pPr>
    </w:p>
    <w:p w14:paraId="672D411D" w14:textId="30A586CB" w:rsidR="00250577" w:rsidRPr="000A68F7" w:rsidRDefault="00250577" w:rsidP="00473FD3">
      <w:pPr>
        <w:spacing w:after="0" w:line="240" w:lineRule="auto"/>
        <w:rPr>
          <w:rFonts w:ascii="Times New Roman" w:hAnsi="Times New Roman" w:cs="Times New Roman"/>
          <w:b/>
          <w:sz w:val="24"/>
          <w:szCs w:val="24"/>
        </w:rPr>
      </w:pPr>
      <w:r w:rsidRPr="000A68F7">
        <w:rPr>
          <w:rFonts w:ascii="Times New Roman" w:hAnsi="Times New Roman" w:cs="Times New Roman"/>
          <w:b/>
          <w:sz w:val="24"/>
          <w:szCs w:val="24"/>
        </w:rPr>
        <w:t xml:space="preserve">Evidentiary </w:t>
      </w:r>
      <w:r>
        <w:rPr>
          <w:rFonts w:ascii="Times New Roman" w:hAnsi="Times New Roman" w:cs="Times New Roman"/>
          <w:b/>
          <w:sz w:val="24"/>
          <w:szCs w:val="24"/>
        </w:rPr>
        <w:t>Issues</w:t>
      </w:r>
      <w:r w:rsidRPr="000A68F7">
        <w:rPr>
          <w:rFonts w:ascii="Times New Roman" w:hAnsi="Times New Roman" w:cs="Times New Roman"/>
          <w:b/>
          <w:sz w:val="24"/>
          <w:szCs w:val="24"/>
        </w:rPr>
        <w:t xml:space="preserve"> – </w:t>
      </w:r>
      <w:r>
        <w:rPr>
          <w:rFonts w:ascii="Times New Roman" w:hAnsi="Times New Roman" w:cs="Times New Roman"/>
          <w:b/>
          <w:sz w:val="24"/>
          <w:szCs w:val="24"/>
        </w:rPr>
        <w:t>The Court’s Unsupported Factual Findings</w:t>
      </w:r>
    </w:p>
    <w:p w14:paraId="48FDABB7" w14:textId="1E45141F" w:rsidR="00250577" w:rsidRPr="004E4A5E" w:rsidRDefault="00250577" w:rsidP="00937470">
      <w:pPr>
        <w:spacing w:after="0" w:line="240" w:lineRule="auto"/>
        <w:rPr>
          <w:rFonts w:ascii="Times New Roman" w:hAnsi="Times New Roman" w:cs="Times New Roman"/>
          <w:strike/>
          <w:sz w:val="24"/>
          <w:szCs w:val="24"/>
          <w:u w:val="single"/>
        </w:rPr>
      </w:pPr>
    </w:p>
    <w:p w14:paraId="7D390A85" w14:textId="55AFC98C" w:rsidR="00250577" w:rsidRDefault="00250577" w:rsidP="0093747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numerous factual conclusions reached by the Court in </w:t>
      </w:r>
      <w:r w:rsidRPr="007B21A9">
        <w:rPr>
          <w:rFonts w:ascii="Times New Roman" w:hAnsi="Times New Roman" w:cs="Times New Roman"/>
          <w:i/>
          <w:sz w:val="24"/>
          <w:szCs w:val="24"/>
        </w:rPr>
        <w:t>Reserve</w:t>
      </w:r>
      <w:r>
        <w:rPr>
          <w:rFonts w:ascii="Times New Roman" w:hAnsi="Times New Roman" w:cs="Times New Roman"/>
          <w:sz w:val="24"/>
          <w:szCs w:val="24"/>
        </w:rPr>
        <w:t xml:space="preserve"> with respect to issues for which the government </w:t>
      </w:r>
      <w:r w:rsidRPr="000270CE">
        <w:rPr>
          <w:rFonts w:ascii="Times New Roman" w:hAnsi="Times New Roman" w:cs="Times New Roman"/>
          <w:b/>
          <w:sz w:val="24"/>
          <w:szCs w:val="24"/>
        </w:rPr>
        <w:t>offered no c</w:t>
      </w:r>
      <w:r>
        <w:rPr>
          <w:rFonts w:ascii="Times New Roman" w:hAnsi="Times New Roman" w:cs="Times New Roman"/>
          <w:b/>
          <w:sz w:val="24"/>
          <w:szCs w:val="24"/>
        </w:rPr>
        <w:t xml:space="preserve">ontroverting </w:t>
      </w:r>
      <w:r w:rsidRPr="000270CE">
        <w:rPr>
          <w:rFonts w:ascii="Times New Roman" w:hAnsi="Times New Roman" w:cs="Times New Roman"/>
          <w:b/>
          <w:sz w:val="24"/>
          <w:szCs w:val="24"/>
        </w:rPr>
        <w:t>evidence or testimony</w:t>
      </w:r>
      <w:r>
        <w:rPr>
          <w:rFonts w:ascii="Times New Roman" w:hAnsi="Times New Roman" w:cs="Times New Roman"/>
          <w:sz w:val="24"/>
          <w:szCs w:val="24"/>
        </w:rPr>
        <w:t xml:space="preserve"> that disputed or challenged the evidence or testimony that was presented by Reserve.  Further, the Court reached conclusions adverse to Reserve on “controlling” issues that were never raised by either party at trial.  </w:t>
      </w:r>
      <w:r w:rsidRPr="00575EEB">
        <w:rPr>
          <w:rFonts w:ascii="Times New Roman" w:hAnsi="Times New Roman" w:cs="Times New Roman"/>
          <w:sz w:val="24"/>
          <w:szCs w:val="24"/>
        </w:rPr>
        <w:t xml:space="preserve">In the context of the </w:t>
      </w:r>
      <w:r w:rsidRPr="00575EEB">
        <w:rPr>
          <w:rFonts w:ascii="Times New Roman" w:hAnsi="Times New Roman" w:cs="Times New Roman"/>
          <w:i/>
          <w:sz w:val="24"/>
          <w:szCs w:val="24"/>
        </w:rPr>
        <w:t>Reserve</w:t>
      </w:r>
      <w:r w:rsidRPr="00575EEB">
        <w:rPr>
          <w:rFonts w:ascii="Times New Roman" w:hAnsi="Times New Roman" w:cs="Times New Roman"/>
          <w:sz w:val="24"/>
          <w:szCs w:val="24"/>
        </w:rPr>
        <w:t xml:space="preserve"> case, the testimony of the 10 witnesses for Reserve (seven witnesses accepted by the Court as experts and three as fact witnesses) was largely uncontested, with the government calling only one expert witness, </w:t>
      </w:r>
      <w:r w:rsidRPr="00575EEB">
        <w:rPr>
          <w:rFonts w:ascii="Times New Roman" w:hAnsi="Times New Roman" w:cs="Times New Roman"/>
          <w:b/>
          <w:i/>
          <w:sz w:val="24"/>
          <w:szCs w:val="24"/>
        </w:rPr>
        <w:t>whose testimony was limited in scope to a narrow range of issues</w:t>
      </w:r>
      <w:r w:rsidRPr="00575EEB">
        <w:rPr>
          <w:rFonts w:ascii="Times New Roman" w:hAnsi="Times New Roman" w:cs="Times New Roman"/>
          <w:sz w:val="24"/>
          <w:szCs w:val="24"/>
        </w:rPr>
        <w:t>.</w:t>
      </w:r>
      <w:r w:rsidRPr="00575EEB">
        <w:rPr>
          <w:rStyle w:val="EndnoteReference"/>
          <w:rFonts w:ascii="Times New Roman" w:hAnsi="Times New Roman" w:cs="Times New Roman"/>
          <w:sz w:val="24"/>
          <w:szCs w:val="24"/>
        </w:rPr>
        <w:endnoteReference w:id="112"/>
      </w:r>
    </w:p>
    <w:p w14:paraId="04C0A3EC" w14:textId="77777777" w:rsidR="00250577" w:rsidRDefault="00250577" w:rsidP="00937470">
      <w:pPr>
        <w:spacing w:after="0" w:line="240" w:lineRule="auto"/>
        <w:rPr>
          <w:rFonts w:ascii="Times New Roman" w:hAnsi="Times New Roman" w:cs="Times New Roman"/>
          <w:sz w:val="24"/>
          <w:szCs w:val="24"/>
        </w:rPr>
      </w:pPr>
    </w:p>
    <w:p w14:paraId="3E39E89E" w14:textId="46CB5705" w:rsidR="00250577" w:rsidRPr="00042431" w:rsidRDefault="00250577" w:rsidP="00937470">
      <w:pPr>
        <w:spacing w:after="0" w:line="240" w:lineRule="auto"/>
        <w:rPr>
          <w:rFonts w:ascii="Times New Roman" w:hAnsi="Times New Roman" w:cs="Times New Roman"/>
          <w:sz w:val="24"/>
          <w:szCs w:val="24"/>
          <w:u w:val="single"/>
        </w:rPr>
      </w:pPr>
      <w:r w:rsidRPr="00042431">
        <w:rPr>
          <w:rFonts w:ascii="Times New Roman" w:hAnsi="Times New Roman" w:cs="Times New Roman"/>
          <w:sz w:val="24"/>
          <w:szCs w:val="24"/>
          <w:u w:val="single"/>
        </w:rPr>
        <w:t>The Court Did Not Respect the Proof Offered</w:t>
      </w:r>
      <w:r>
        <w:rPr>
          <w:rFonts w:ascii="Times New Roman" w:hAnsi="Times New Roman" w:cs="Times New Roman"/>
          <w:sz w:val="24"/>
          <w:szCs w:val="24"/>
          <w:u w:val="single"/>
        </w:rPr>
        <w:t xml:space="preserve"> and </w:t>
      </w:r>
      <w:r w:rsidRPr="00042431">
        <w:rPr>
          <w:rFonts w:ascii="Times New Roman" w:hAnsi="Times New Roman" w:cs="Times New Roman"/>
          <w:sz w:val="24"/>
          <w:szCs w:val="24"/>
          <w:u w:val="single"/>
        </w:rPr>
        <w:t xml:space="preserve">Made Findings </w:t>
      </w:r>
      <w:r w:rsidRPr="00042431">
        <w:rPr>
          <w:rFonts w:ascii="Times New Roman" w:hAnsi="Times New Roman" w:cs="Times New Roman"/>
          <w:i/>
          <w:sz w:val="24"/>
          <w:szCs w:val="24"/>
          <w:u w:val="single"/>
        </w:rPr>
        <w:t>Sua Sponte</w:t>
      </w:r>
      <w:r w:rsidRPr="00042431">
        <w:rPr>
          <w:rFonts w:ascii="Times New Roman" w:hAnsi="Times New Roman" w:cs="Times New Roman"/>
          <w:sz w:val="24"/>
          <w:szCs w:val="24"/>
          <w:u w:val="single"/>
        </w:rPr>
        <w:t xml:space="preserve"> on </w:t>
      </w:r>
      <w:r>
        <w:rPr>
          <w:rFonts w:ascii="Times New Roman" w:hAnsi="Times New Roman" w:cs="Times New Roman"/>
          <w:sz w:val="24"/>
          <w:szCs w:val="24"/>
          <w:u w:val="single"/>
        </w:rPr>
        <w:t>Uncontested and Uncontroverted Issues</w:t>
      </w:r>
    </w:p>
    <w:p w14:paraId="4E9DCA11" w14:textId="77777777" w:rsidR="00250577" w:rsidRDefault="00250577" w:rsidP="00937470">
      <w:pPr>
        <w:spacing w:after="0" w:line="240" w:lineRule="auto"/>
        <w:rPr>
          <w:rFonts w:ascii="Times New Roman" w:hAnsi="Times New Roman" w:cs="Times New Roman"/>
          <w:sz w:val="24"/>
          <w:szCs w:val="24"/>
        </w:rPr>
      </w:pPr>
    </w:p>
    <w:p w14:paraId="2844C250" w14:textId="475A9DE5" w:rsidR="00250577" w:rsidRDefault="00250577" w:rsidP="009374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Court frequently </w:t>
      </w:r>
      <w:r w:rsidRPr="00967E06">
        <w:rPr>
          <w:rFonts w:ascii="Times New Roman" w:hAnsi="Times New Roman" w:cs="Times New Roman"/>
          <w:b/>
          <w:i/>
          <w:sz w:val="24"/>
          <w:szCs w:val="24"/>
        </w:rPr>
        <w:t>went outside the record</w:t>
      </w:r>
      <w:r>
        <w:rPr>
          <w:rFonts w:ascii="Times New Roman" w:hAnsi="Times New Roman" w:cs="Times New Roman"/>
          <w:b/>
          <w:i/>
          <w:sz w:val="24"/>
          <w:szCs w:val="24"/>
        </w:rPr>
        <w:t>.</w:t>
      </w:r>
      <w:r>
        <w:rPr>
          <w:rFonts w:ascii="Times New Roman" w:hAnsi="Times New Roman" w:cs="Times New Roman"/>
          <w:sz w:val="24"/>
          <w:szCs w:val="24"/>
        </w:rPr>
        <w:t xml:space="preserve">  By way of example, it did so with respect to the following:</w:t>
      </w:r>
    </w:p>
    <w:p w14:paraId="0DF73EAF" w14:textId="77777777" w:rsidR="00250577" w:rsidRDefault="00250577" w:rsidP="00937470">
      <w:pPr>
        <w:spacing w:after="0" w:line="240" w:lineRule="auto"/>
        <w:rPr>
          <w:rFonts w:ascii="Times New Roman" w:hAnsi="Times New Roman" w:cs="Times New Roman"/>
          <w:sz w:val="24"/>
          <w:szCs w:val="24"/>
        </w:rPr>
      </w:pPr>
    </w:p>
    <w:p w14:paraId="70DF51CC" w14:textId="4FD248E9" w:rsidR="00250577" w:rsidRPr="0091010B" w:rsidRDefault="00250577" w:rsidP="00937470">
      <w:pPr>
        <w:pStyle w:val="ListParagraph"/>
        <w:numPr>
          <w:ilvl w:val="0"/>
          <w:numId w:val="7"/>
        </w:numPr>
        <w:spacing w:after="0" w:line="240" w:lineRule="auto"/>
        <w:rPr>
          <w:rFonts w:ascii="Times New Roman" w:hAnsi="Times New Roman" w:cs="Times New Roman"/>
          <w:sz w:val="24"/>
          <w:szCs w:val="24"/>
        </w:rPr>
      </w:pPr>
      <w:r w:rsidRPr="0091010B">
        <w:rPr>
          <w:rFonts w:ascii="Times New Roman" w:hAnsi="Times New Roman" w:cs="Times New Roman"/>
          <w:sz w:val="24"/>
          <w:szCs w:val="24"/>
        </w:rPr>
        <w:t xml:space="preserve">No </w:t>
      </w:r>
      <w:r>
        <w:rPr>
          <w:rFonts w:ascii="Times New Roman" w:hAnsi="Times New Roman" w:cs="Times New Roman"/>
          <w:sz w:val="24"/>
          <w:szCs w:val="24"/>
        </w:rPr>
        <w:t xml:space="preserve">credible </w:t>
      </w:r>
      <w:r w:rsidRPr="0091010B">
        <w:rPr>
          <w:rFonts w:ascii="Times New Roman" w:hAnsi="Times New Roman" w:cs="Times New Roman"/>
          <w:sz w:val="24"/>
          <w:szCs w:val="24"/>
        </w:rPr>
        <w:t xml:space="preserve">expert or fact witnesses testified on behalf of the government that there was any lack of need for pollution liability coverage for Peak or the other insureds.  The corporate representative </w:t>
      </w:r>
      <w:r>
        <w:rPr>
          <w:rFonts w:ascii="Times New Roman" w:hAnsi="Times New Roman" w:cs="Times New Roman"/>
          <w:sz w:val="24"/>
          <w:szCs w:val="24"/>
        </w:rPr>
        <w:t xml:space="preserve">for the insureds </w:t>
      </w:r>
      <w:r w:rsidRPr="0091010B">
        <w:rPr>
          <w:rFonts w:ascii="Times New Roman" w:hAnsi="Times New Roman" w:cs="Times New Roman"/>
          <w:sz w:val="24"/>
          <w:szCs w:val="24"/>
        </w:rPr>
        <w:t xml:space="preserve">testified that </w:t>
      </w:r>
      <w:r>
        <w:rPr>
          <w:rFonts w:ascii="Times New Roman" w:hAnsi="Times New Roman" w:cs="Times New Roman"/>
          <w:sz w:val="24"/>
          <w:szCs w:val="24"/>
        </w:rPr>
        <w:t xml:space="preserve">the insureds had sought </w:t>
      </w:r>
      <w:r w:rsidRPr="0091010B">
        <w:rPr>
          <w:rFonts w:ascii="Times New Roman" w:hAnsi="Times New Roman" w:cs="Times New Roman"/>
          <w:sz w:val="24"/>
          <w:szCs w:val="24"/>
        </w:rPr>
        <w:t xml:space="preserve">pollution liability insurance </w:t>
      </w:r>
      <w:r>
        <w:rPr>
          <w:rFonts w:ascii="Times New Roman" w:hAnsi="Times New Roman" w:cs="Times New Roman"/>
          <w:sz w:val="24"/>
          <w:szCs w:val="24"/>
        </w:rPr>
        <w:t xml:space="preserve">from commercial carriers </w:t>
      </w:r>
      <w:r w:rsidRPr="0091010B">
        <w:rPr>
          <w:rFonts w:ascii="Times New Roman" w:hAnsi="Times New Roman" w:cs="Times New Roman"/>
          <w:sz w:val="24"/>
          <w:szCs w:val="24"/>
        </w:rPr>
        <w:t xml:space="preserve">but that </w:t>
      </w:r>
      <w:r>
        <w:rPr>
          <w:rFonts w:ascii="Times New Roman" w:hAnsi="Times New Roman" w:cs="Times New Roman"/>
          <w:sz w:val="24"/>
          <w:szCs w:val="24"/>
        </w:rPr>
        <w:t xml:space="preserve">understandably such </w:t>
      </w:r>
      <w:r w:rsidRPr="0091010B">
        <w:rPr>
          <w:rFonts w:ascii="Times New Roman" w:hAnsi="Times New Roman" w:cs="Times New Roman"/>
          <w:sz w:val="24"/>
          <w:szCs w:val="24"/>
        </w:rPr>
        <w:t>was not available</w:t>
      </w:r>
      <w:r>
        <w:rPr>
          <w:rFonts w:ascii="Times New Roman" w:hAnsi="Times New Roman" w:cs="Times New Roman"/>
          <w:sz w:val="24"/>
          <w:szCs w:val="24"/>
        </w:rPr>
        <w:t xml:space="preserve">, </w:t>
      </w:r>
      <w:r w:rsidRPr="0091010B">
        <w:rPr>
          <w:rFonts w:ascii="Times New Roman" w:hAnsi="Times New Roman" w:cs="Times New Roman"/>
          <w:sz w:val="24"/>
          <w:szCs w:val="24"/>
        </w:rPr>
        <w:t xml:space="preserve">given </w:t>
      </w:r>
      <w:r>
        <w:rPr>
          <w:rFonts w:ascii="Times New Roman" w:hAnsi="Times New Roman" w:cs="Times New Roman"/>
          <w:sz w:val="24"/>
          <w:szCs w:val="24"/>
        </w:rPr>
        <w:t xml:space="preserve">Peak’s being </w:t>
      </w:r>
      <w:r w:rsidRPr="0091010B">
        <w:rPr>
          <w:rFonts w:ascii="Times New Roman" w:hAnsi="Times New Roman" w:cs="Times New Roman"/>
          <w:sz w:val="24"/>
          <w:szCs w:val="24"/>
        </w:rPr>
        <w:t xml:space="preserve">located </w:t>
      </w:r>
      <w:r>
        <w:rPr>
          <w:rFonts w:ascii="Times New Roman" w:hAnsi="Times New Roman" w:cs="Times New Roman"/>
          <w:sz w:val="24"/>
          <w:szCs w:val="24"/>
        </w:rPr>
        <w:t xml:space="preserve">within </w:t>
      </w:r>
      <w:r w:rsidRPr="0091010B">
        <w:rPr>
          <w:rFonts w:ascii="Times New Roman" w:hAnsi="Times New Roman" w:cs="Times New Roman"/>
          <w:sz w:val="24"/>
          <w:szCs w:val="24"/>
        </w:rPr>
        <w:t>a Superfund Site</w:t>
      </w:r>
      <w:r>
        <w:rPr>
          <w:rFonts w:ascii="Times New Roman" w:hAnsi="Times New Roman" w:cs="Times New Roman"/>
          <w:sz w:val="24"/>
          <w:szCs w:val="24"/>
        </w:rPr>
        <w:t xml:space="preserve"> and the nature of its business</w:t>
      </w:r>
      <w:r w:rsidRPr="0091010B">
        <w:rPr>
          <w:rFonts w:ascii="Times New Roman" w:hAnsi="Times New Roman" w:cs="Times New Roman"/>
          <w:sz w:val="24"/>
          <w:szCs w:val="24"/>
        </w:rPr>
        <w:t>.</w:t>
      </w:r>
      <w:r>
        <w:rPr>
          <w:rStyle w:val="EndnoteReference"/>
          <w:rFonts w:ascii="Times New Roman" w:hAnsi="Times New Roman" w:cs="Times New Roman"/>
          <w:sz w:val="24"/>
          <w:szCs w:val="24"/>
        </w:rPr>
        <w:endnoteReference w:id="113"/>
      </w:r>
      <w:r w:rsidRPr="0091010B">
        <w:rPr>
          <w:rFonts w:ascii="Times New Roman" w:hAnsi="Times New Roman" w:cs="Times New Roman"/>
          <w:sz w:val="24"/>
          <w:szCs w:val="24"/>
        </w:rPr>
        <w:t xml:space="preserve">  The Court </w:t>
      </w:r>
      <w:r w:rsidRPr="0091010B">
        <w:rPr>
          <w:rFonts w:ascii="Times New Roman" w:hAnsi="Times New Roman" w:cs="Times New Roman"/>
          <w:i/>
          <w:sz w:val="24"/>
          <w:szCs w:val="24"/>
        </w:rPr>
        <w:t>sua sponte</w:t>
      </w:r>
      <w:r>
        <w:rPr>
          <w:rFonts w:ascii="Times New Roman" w:hAnsi="Times New Roman" w:cs="Times New Roman"/>
          <w:sz w:val="24"/>
          <w:szCs w:val="24"/>
        </w:rPr>
        <w:t xml:space="preserve"> </w:t>
      </w:r>
      <w:r w:rsidRPr="0091010B">
        <w:rPr>
          <w:rFonts w:ascii="Times New Roman" w:hAnsi="Times New Roman" w:cs="Times New Roman"/>
          <w:sz w:val="24"/>
          <w:szCs w:val="24"/>
        </w:rPr>
        <w:t xml:space="preserve">concluded </w:t>
      </w:r>
      <w:r>
        <w:rPr>
          <w:rFonts w:ascii="Times New Roman" w:hAnsi="Times New Roman" w:cs="Times New Roman"/>
          <w:sz w:val="24"/>
          <w:szCs w:val="24"/>
        </w:rPr>
        <w:t>that the insureds had no “business purpose” to acquire pollution liability insurance or any of the other coverages</w:t>
      </w:r>
      <w:r w:rsidRPr="0091010B">
        <w:rPr>
          <w:rFonts w:ascii="Times New Roman" w:hAnsi="Times New Roman" w:cs="Times New Roman"/>
          <w:sz w:val="24"/>
          <w:szCs w:val="24"/>
        </w:rPr>
        <w:t>.</w:t>
      </w:r>
      <w:r>
        <w:rPr>
          <w:rStyle w:val="EndnoteReference"/>
          <w:rFonts w:ascii="Times New Roman" w:hAnsi="Times New Roman" w:cs="Times New Roman"/>
          <w:sz w:val="24"/>
          <w:szCs w:val="24"/>
        </w:rPr>
        <w:endnoteReference w:id="114"/>
      </w:r>
    </w:p>
    <w:p w14:paraId="4251FE0A" w14:textId="77777777" w:rsidR="00250577" w:rsidRPr="00A51006" w:rsidRDefault="00250577" w:rsidP="00937470">
      <w:pPr>
        <w:spacing w:after="0" w:line="240" w:lineRule="auto"/>
        <w:rPr>
          <w:rFonts w:ascii="Times New Roman" w:hAnsi="Times New Roman" w:cs="Times New Roman"/>
          <w:sz w:val="24"/>
          <w:szCs w:val="24"/>
        </w:rPr>
      </w:pPr>
    </w:p>
    <w:p w14:paraId="5E8B9415" w14:textId="4B05A049" w:rsidR="00250577" w:rsidRPr="0091010B" w:rsidRDefault="00250577" w:rsidP="00937470">
      <w:pPr>
        <w:pStyle w:val="ListParagraph"/>
        <w:numPr>
          <w:ilvl w:val="0"/>
          <w:numId w:val="7"/>
        </w:numPr>
        <w:spacing w:after="0" w:line="240" w:lineRule="auto"/>
        <w:rPr>
          <w:rFonts w:ascii="Times New Roman" w:hAnsi="Times New Roman" w:cs="Times New Roman"/>
          <w:sz w:val="24"/>
          <w:szCs w:val="24"/>
        </w:rPr>
      </w:pPr>
      <w:r w:rsidRPr="0091010B">
        <w:rPr>
          <w:rFonts w:ascii="Times New Roman" w:hAnsi="Times New Roman" w:cs="Times New Roman"/>
          <w:sz w:val="24"/>
          <w:szCs w:val="24"/>
        </w:rPr>
        <w:t>The government did not cite even once to</w:t>
      </w:r>
      <w:r>
        <w:rPr>
          <w:rFonts w:ascii="Times New Roman" w:hAnsi="Times New Roman" w:cs="Times New Roman"/>
          <w:sz w:val="24"/>
          <w:szCs w:val="24"/>
        </w:rPr>
        <w:t xml:space="preserve"> its sole</w:t>
      </w:r>
      <w:r w:rsidRPr="0091010B">
        <w:rPr>
          <w:rFonts w:ascii="Times New Roman" w:hAnsi="Times New Roman" w:cs="Times New Roman"/>
          <w:sz w:val="24"/>
          <w:szCs w:val="24"/>
        </w:rPr>
        <w:t xml:space="preserve"> expert witness by name or by testimony in the whole of its </w:t>
      </w:r>
      <w:r>
        <w:rPr>
          <w:rFonts w:ascii="Times New Roman" w:hAnsi="Times New Roman" w:cs="Times New Roman"/>
          <w:sz w:val="24"/>
          <w:szCs w:val="24"/>
        </w:rPr>
        <w:t xml:space="preserve">post-trial </w:t>
      </w:r>
      <w:r w:rsidRPr="0091010B">
        <w:rPr>
          <w:rFonts w:ascii="Times New Roman" w:hAnsi="Times New Roman" w:cs="Times New Roman"/>
          <w:sz w:val="24"/>
          <w:szCs w:val="24"/>
        </w:rPr>
        <w:t>briefing</w:t>
      </w:r>
      <w:r>
        <w:rPr>
          <w:rFonts w:ascii="Times New Roman" w:hAnsi="Times New Roman" w:cs="Times New Roman"/>
          <w:sz w:val="24"/>
          <w:szCs w:val="24"/>
        </w:rPr>
        <w:t xml:space="preserve"> for the apparent reason that the </w:t>
      </w:r>
      <w:r w:rsidRPr="0091010B">
        <w:rPr>
          <w:rFonts w:ascii="Times New Roman" w:hAnsi="Times New Roman" w:cs="Times New Roman"/>
          <w:sz w:val="24"/>
          <w:szCs w:val="24"/>
        </w:rPr>
        <w:t>government’s expert had been largely discredited on the stand as his testimony reflected numerous instances of backpedaling</w:t>
      </w:r>
      <w:r>
        <w:rPr>
          <w:rFonts w:ascii="Times New Roman" w:hAnsi="Times New Roman" w:cs="Times New Roman"/>
          <w:sz w:val="24"/>
          <w:szCs w:val="24"/>
        </w:rPr>
        <w:t>.</w:t>
      </w:r>
      <w:r w:rsidRPr="0091010B">
        <w:rPr>
          <w:rFonts w:ascii="Times New Roman" w:hAnsi="Times New Roman" w:cs="Times New Roman"/>
          <w:sz w:val="24"/>
          <w:szCs w:val="24"/>
        </w:rPr>
        <w:t xml:space="preserve">  </w:t>
      </w:r>
      <w:r>
        <w:rPr>
          <w:rFonts w:ascii="Times New Roman" w:hAnsi="Times New Roman" w:cs="Times New Roman"/>
          <w:sz w:val="24"/>
          <w:szCs w:val="24"/>
        </w:rPr>
        <w:t xml:space="preserve">“Expert” Riggin </w:t>
      </w:r>
      <w:r w:rsidRPr="0091010B">
        <w:rPr>
          <w:rFonts w:ascii="Times New Roman" w:hAnsi="Times New Roman" w:cs="Times New Roman"/>
          <w:sz w:val="24"/>
          <w:szCs w:val="24"/>
        </w:rPr>
        <w:t xml:space="preserve">admitted on cross-examination that statements in his testimony and expert report were </w:t>
      </w:r>
      <w:r>
        <w:rPr>
          <w:rFonts w:ascii="Times New Roman" w:hAnsi="Times New Roman" w:cs="Times New Roman"/>
          <w:sz w:val="24"/>
          <w:szCs w:val="24"/>
        </w:rPr>
        <w:t>in</w:t>
      </w:r>
      <w:r w:rsidRPr="0091010B">
        <w:rPr>
          <w:rFonts w:ascii="Times New Roman" w:hAnsi="Times New Roman" w:cs="Times New Roman"/>
          <w:sz w:val="24"/>
          <w:szCs w:val="24"/>
        </w:rPr>
        <w:t>accurate.</w:t>
      </w:r>
      <w:r>
        <w:rPr>
          <w:rStyle w:val="EndnoteReference"/>
          <w:rFonts w:ascii="Times New Roman" w:hAnsi="Times New Roman" w:cs="Times New Roman"/>
          <w:sz w:val="24"/>
          <w:szCs w:val="24"/>
        </w:rPr>
        <w:endnoteReference w:id="115"/>
      </w:r>
      <w:r w:rsidRPr="0091010B">
        <w:rPr>
          <w:rFonts w:ascii="Times New Roman" w:hAnsi="Times New Roman" w:cs="Times New Roman"/>
          <w:sz w:val="24"/>
          <w:szCs w:val="24"/>
        </w:rPr>
        <w:t xml:space="preserve">  Likewise, the </w:t>
      </w:r>
      <w:r w:rsidRPr="00BE643D">
        <w:rPr>
          <w:rFonts w:ascii="Times New Roman" w:hAnsi="Times New Roman" w:cs="Times New Roman"/>
          <w:b/>
          <w:i/>
          <w:sz w:val="24"/>
          <w:szCs w:val="24"/>
        </w:rPr>
        <w:t>Court</w:t>
      </w:r>
      <w:r w:rsidRPr="0091010B">
        <w:rPr>
          <w:rFonts w:ascii="Times New Roman" w:hAnsi="Times New Roman" w:cs="Times New Roman"/>
          <w:sz w:val="24"/>
          <w:szCs w:val="24"/>
        </w:rPr>
        <w:t xml:space="preserve"> did not cite even once by name or reference to this expert witness’ testimony.</w:t>
      </w:r>
      <w:r>
        <w:rPr>
          <w:rFonts w:ascii="Times New Roman" w:hAnsi="Times New Roman" w:cs="Times New Roman"/>
          <w:sz w:val="24"/>
          <w:szCs w:val="24"/>
        </w:rPr>
        <w:t xml:space="preserve">  </w:t>
      </w:r>
      <w:r w:rsidRPr="0091010B">
        <w:rPr>
          <w:rFonts w:ascii="Times New Roman" w:hAnsi="Times New Roman" w:cs="Times New Roman"/>
          <w:sz w:val="24"/>
          <w:szCs w:val="24"/>
        </w:rPr>
        <w:t xml:space="preserve">What was unusual in this case was that </w:t>
      </w:r>
      <w:r>
        <w:rPr>
          <w:rFonts w:ascii="Times New Roman" w:hAnsi="Times New Roman" w:cs="Times New Roman"/>
          <w:sz w:val="24"/>
          <w:szCs w:val="24"/>
        </w:rPr>
        <w:t xml:space="preserve">neither the Court nor </w:t>
      </w:r>
      <w:r w:rsidRPr="0091010B">
        <w:rPr>
          <w:rFonts w:ascii="Times New Roman" w:hAnsi="Times New Roman" w:cs="Times New Roman"/>
          <w:sz w:val="24"/>
          <w:szCs w:val="24"/>
        </w:rPr>
        <w:t>the government address</w:t>
      </w:r>
      <w:r>
        <w:rPr>
          <w:rFonts w:ascii="Times New Roman" w:hAnsi="Times New Roman" w:cs="Times New Roman"/>
          <w:sz w:val="24"/>
          <w:szCs w:val="24"/>
        </w:rPr>
        <w:t>ed</w:t>
      </w:r>
      <w:r w:rsidRPr="0091010B">
        <w:rPr>
          <w:rFonts w:ascii="Times New Roman" w:hAnsi="Times New Roman" w:cs="Times New Roman"/>
          <w:sz w:val="24"/>
          <w:szCs w:val="24"/>
        </w:rPr>
        <w:t xml:space="preserve"> the government’s sole expert</w:t>
      </w:r>
      <w:r>
        <w:rPr>
          <w:rFonts w:ascii="Times New Roman" w:hAnsi="Times New Roman" w:cs="Times New Roman"/>
          <w:sz w:val="24"/>
          <w:szCs w:val="24"/>
        </w:rPr>
        <w:t xml:space="preserve"> after his testimony was largely debunked at trial.  </w:t>
      </w:r>
      <w:r w:rsidRPr="0091010B">
        <w:rPr>
          <w:rFonts w:ascii="Times New Roman" w:hAnsi="Times New Roman" w:cs="Times New Roman"/>
          <w:sz w:val="24"/>
          <w:szCs w:val="24"/>
        </w:rPr>
        <w:t xml:space="preserve">Rather, the Court’s analysis was based on the Court going outside the record and drawing on whatever </w:t>
      </w:r>
      <w:r>
        <w:rPr>
          <w:rFonts w:ascii="Times New Roman" w:hAnsi="Times New Roman" w:cs="Times New Roman"/>
          <w:sz w:val="24"/>
          <w:szCs w:val="24"/>
        </w:rPr>
        <w:t xml:space="preserve">other </w:t>
      </w:r>
      <w:r w:rsidRPr="0091010B">
        <w:rPr>
          <w:rFonts w:ascii="Times New Roman" w:hAnsi="Times New Roman" w:cs="Times New Roman"/>
          <w:sz w:val="24"/>
          <w:szCs w:val="24"/>
        </w:rPr>
        <w:t>experience it had</w:t>
      </w:r>
      <w:r>
        <w:rPr>
          <w:rFonts w:ascii="Times New Roman" w:hAnsi="Times New Roman" w:cs="Times New Roman"/>
          <w:sz w:val="24"/>
          <w:szCs w:val="24"/>
        </w:rPr>
        <w:t xml:space="preserve">, if any, with </w:t>
      </w:r>
      <w:r w:rsidRPr="0091010B">
        <w:rPr>
          <w:rFonts w:ascii="Times New Roman" w:hAnsi="Times New Roman" w:cs="Times New Roman"/>
          <w:sz w:val="24"/>
          <w:szCs w:val="24"/>
        </w:rPr>
        <w:t>insurance matters.</w:t>
      </w:r>
      <w:r>
        <w:rPr>
          <w:rStyle w:val="EndnoteReference"/>
          <w:rFonts w:ascii="Times New Roman" w:hAnsi="Times New Roman" w:cs="Times New Roman"/>
          <w:sz w:val="24"/>
          <w:szCs w:val="24"/>
        </w:rPr>
        <w:endnoteReference w:id="116"/>
      </w:r>
    </w:p>
    <w:p w14:paraId="2BBCCA4A" w14:textId="77777777" w:rsidR="00250577" w:rsidRPr="007626C7" w:rsidRDefault="00250577" w:rsidP="00937470">
      <w:pPr>
        <w:spacing w:after="0" w:line="240" w:lineRule="auto"/>
        <w:rPr>
          <w:rFonts w:ascii="Times New Roman" w:hAnsi="Times New Roman" w:cs="Times New Roman"/>
          <w:sz w:val="24"/>
          <w:szCs w:val="24"/>
        </w:rPr>
      </w:pPr>
    </w:p>
    <w:p w14:paraId="04A93880" w14:textId="389B0924" w:rsidR="00250577" w:rsidRPr="0091010B" w:rsidRDefault="00250577" w:rsidP="00937470">
      <w:pPr>
        <w:pStyle w:val="ListParagraph"/>
        <w:numPr>
          <w:ilvl w:val="0"/>
          <w:numId w:val="7"/>
        </w:numPr>
        <w:spacing w:after="0" w:line="240" w:lineRule="auto"/>
        <w:rPr>
          <w:rFonts w:ascii="Times New Roman" w:hAnsi="Times New Roman" w:cs="Times New Roman"/>
          <w:sz w:val="24"/>
          <w:szCs w:val="24"/>
        </w:rPr>
      </w:pPr>
      <w:r w:rsidRPr="0091010B">
        <w:rPr>
          <w:rFonts w:ascii="Times New Roman" w:hAnsi="Times New Roman" w:cs="Times New Roman"/>
          <w:sz w:val="24"/>
          <w:szCs w:val="24"/>
        </w:rPr>
        <w:t xml:space="preserve">The government’s expert witness admitted that at least </w:t>
      </w:r>
      <w:r w:rsidRPr="003D5679">
        <w:rPr>
          <w:rFonts w:ascii="Times New Roman" w:hAnsi="Times New Roman" w:cs="Times New Roman"/>
          <w:sz w:val="24"/>
          <w:szCs w:val="24"/>
        </w:rPr>
        <w:t>11 of the 14</w:t>
      </w:r>
      <w:r w:rsidRPr="0091010B">
        <w:rPr>
          <w:rFonts w:ascii="Times New Roman" w:hAnsi="Times New Roman" w:cs="Times New Roman"/>
          <w:sz w:val="24"/>
          <w:szCs w:val="24"/>
        </w:rPr>
        <w:t xml:space="preserve"> polices </w:t>
      </w:r>
      <w:r>
        <w:rPr>
          <w:rFonts w:ascii="Times New Roman" w:hAnsi="Times New Roman" w:cs="Times New Roman"/>
          <w:sz w:val="24"/>
          <w:szCs w:val="24"/>
        </w:rPr>
        <w:t xml:space="preserve">(9 in whole and 2 at least in part) </w:t>
      </w:r>
      <w:r w:rsidRPr="0091010B">
        <w:rPr>
          <w:rFonts w:ascii="Times New Roman" w:hAnsi="Times New Roman" w:cs="Times New Roman"/>
          <w:sz w:val="24"/>
          <w:szCs w:val="24"/>
        </w:rPr>
        <w:t>issued by Reserve were “insurance” if analytically based premiums could be established for such policies.</w:t>
      </w:r>
      <w:r>
        <w:rPr>
          <w:rStyle w:val="EndnoteReference"/>
          <w:rFonts w:ascii="Times New Roman" w:hAnsi="Times New Roman" w:cs="Times New Roman"/>
          <w:sz w:val="24"/>
          <w:szCs w:val="24"/>
        </w:rPr>
        <w:endnoteReference w:id="117"/>
      </w:r>
      <w:r w:rsidRPr="0091010B">
        <w:rPr>
          <w:rFonts w:ascii="Times New Roman" w:hAnsi="Times New Roman" w:cs="Times New Roman"/>
          <w:sz w:val="24"/>
          <w:szCs w:val="24"/>
        </w:rPr>
        <w:t xml:space="preserve">  The Court concluded that </w:t>
      </w:r>
      <w:r>
        <w:rPr>
          <w:rFonts w:ascii="Times New Roman" w:hAnsi="Times New Roman" w:cs="Times New Roman"/>
          <w:sz w:val="24"/>
          <w:szCs w:val="24"/>
        </w:rPr>
        <w:t xml:space="preserve">Reserve’s premiums were priced </w:t>
      </w:r>
      <w:r w:rsidRPr="0091010B">
        <w:rPr>
          <w:rFonts w:ascii="Times New Roman" w:hAnsi="Times New Roman" w:cs="Times New Roman"/>
          <w:sz w:val="24"/>
          <w:szCs w:val="24"/>
        </w:rPr>
        <w:t>“using objective criteria and what appears to be actuarial methods.”</w:t>
      </w:r>
      <w:r>
        <w:rPr>
          <w:rStyle w:val="EndnoteReference"/>
          <w:rFonts w:ascii="Times New Roman" w:hAnsi="Times New Roman" w:cs="Times New Roman"/>
          <w:sz w:val="24"/>
          <w:szCs w:val="24"/>
        </w:rPr>
        <w:endnoteReference w:id="118"/>
      </w:r>
      <w:r w:rsidRPr="0091010B">
        <w:rPr>
          <w:rFonts w:ascii="Times New Roman" w:hAnsi="Times New Roman" w:cs="Times New Roman"/>
          <w:sz w:val="24"/>
          <w:szCs w:val="24"/>
        </w:rPr>
        <w:t xml:space="preserve">  Further, the government’s witness specifically said he was not testifying on pricing.</w:t>
      </w:r>
      <w:r>
        <w:rPr>
          <w:rStyle w:val="EndnoteReference"/>
          <w:rFonts w:ascii="Times New Roman" w:hAnsi="Times New Roman" w:cs="Times New Roman"/>
          <w:sz w:val="24"/>
          <w:szCs w:val="24"/>
        </w:rPr>
        <w:endnoteReference w:id="119"/>
      </w:r>
      <w:r w:rsidRPr="0091010B">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91010B">
        <w:rPr>
          <w:rFonts w:ascii="Times New Roman" w:hAnsi="Times New Roman" w:cs="Times New Roman"/>
          <w:sz w:val="24"/>
          <w:szCs w:val="24"/>
        </w:rPr>
        <w:t>multiple witnesses</w:t>
      </w:r>
      <w:r>
        <w:rPr>
          <w:rFonts w:ascii="Times New Roman" w:hAnsi="Times New Roman" w:cs="Times New Roman"/>
          <w:sz w:val="24"/>
          <w:szCs w:val="24"/>
        </w:rPr>
        <w:t>, including two different actuaries,</w:t>
      </w:r>
      <w:r w:rsidRPr="0091010B">
        <w:rPr>
          <w:rFonts w:ascii="Times New Roman" w:hAnsi="Times New Roman" w:cs="Times New Roman"/>
          <w:sz w:val="24"/>
          <w:szCs w:val="24"/>
        </w:rPr>
        <w:t xml:space="preserve"> testified </w:t>
      </w:r>
      <w:r>
        <w:rPr>
          <w:rFonts w:ascii="Times New Roman" w:hAnsi="Times New Roman" w:cs="Times New Roman"/>
          <w:sz w:val="24"/>
          <w:szCs w:val="24"/>
        </w:rPr>
        <w:t xml:space="preserve">in support </w:t>
      </w:r>
      <w:r w:rsidRPr="0091010B">
        <w:rPr>
          <w:rFonts w:ascii="Times New Roman" w:hAnsi="Times New Roman" w:cs="Times New Roman"/>
          <w:sz w:val="24"/>
          <w:szCs w:val="24"/>
        </w:rPr>
        <w:t>of Reserve</w:t>
      </w:r>
      <w:r>
        <w:rPr>
          <w:rFonts w:ascii="Times New Roman" w:hAnsi="Times New Roman" w:cs="Times New Roman"/>
          <w:sz w:val="24"/>
          <w:szCs w:val="24"/>
        </w:rPr>
        <w:t>’s</w:t>
      </w:r>
      <w:r w:rsidRPr="0091010B">
        <w:rPr>
          <w:rFonts w:ascii="Times New Roman" w:hAnsi="Times New Roman" w:cs="Times New Roman"/>
          <w:sz w:val="24"/>
          <w:szCs w:val="24"/>
        </w:rPr>
        <w:t xml:space="preserve"> policy pricing</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20"/>
      </w:r>
      <w:r>
        <w:rPr>
          <w:rFonts w:ascii="Times New Roman" w:hAnsi="Times New Roman" w:cs="Times New Roman"/>
          <w:sz w:val="24"/>
          <w:szCs w:val="24"/>
        </w:rPr>
        <w:t xml:space="preserve">  </w:t>
      </w:r>
      <w:r w:rsidRPr="0091010B">
        <w:rPr>
          <w:rFonts w:ascii="Times New Roman" w:hAnsi="Times New Roman" w:cs="Times New Roman"/>
          <w:sz w:val="24"/>
          <w:szCs w:val="24"/>
        </w:rPr>
        <w:t xml:space="preserve">Nevertheless, </w:t>
      </w:r>
      <w:r w:rsidRPr="00CB1E16">
        <w:rPr>
          <w:rFonts w:ascii="Times New Roman" w:hAnsi="Times New Roman" w:cs="Times New Roman"/>
          <w:sz w:val="24"/>
          <w:szCs w:val="24"/>
          <w:u w:val="single"/>
        </w:rPr>
        <w:t xml:space="preserve">the Court </w:t>
      </w:r>
      <w:r w:rsidRPr="009A1631">
        <w:rPr>
          <w:rFonts w:ascii="Times New Roman" w:hAnsi="Times New Roman" w:cs="Times New Roman"/>
          <w:sz w:val="24"/>
          <w:szCs w:val="24"/>
          <w:u w:val="single"/>
        </w:rPr>
        <w:t>rejected</w:t>
      </w:r>
      <w:r w:rsidRPr="0091010B">
        <w:rPr>
          <w:rFonts w:ascii="Times New Roman" w:hAnsi="Times New Roman" w:cs="Times New Roman"/>
          <w:sz w:val="24"/>
          <w:szCs w:val="24"/>
          <w:u w:val="single"/>
        </w:rPr>
        <w:t xml:space="preserve"> </w:t>
      </w:r>
      <w:r>
        <w:rPr>
          <w:rFonts w:ascii="Times New Roman" w:hAnsi="Times New Roman" w:cs="Times New Roman"/>
          <w:sz w:val="24"/>
          <w:szCs w:val="24"/>
          <w:u w:val="single"/>
        </w:rPr>
        <w:t>in total all of Reserve’s policies as not being insurance with scant analysis</w:t>
      </w:r>
      <w:r w:rsidRPr="002B272F">
        <w:rPr>
          <w:rFonts w:ascii="Times New Roman" w:hAnsi="Times New Roman" w:cs="Times New Roman"/>
          <w:sz w:val="24"/>
          <w:szCs w:val="24"/>
        </w:rPr>
        <w:t>,</w:t>
      </w:r>
      <w:r w:rsidRPr="002B272F">
        <w:rPr>
          <w:rStyle w:val="EndnoteReference"/>
          <w:rFonts w:ascii="Times New Roman" w:hAnsi="Times New Roman" w:cs="Times New Roman"/>
          <w:sz w:val="24"/>
          <w:szCs w:val="24"/>
        </w:rPr>
        <w:endnoteReference w:id="121"/>
      </w:r>
      <w:r w:rsidRPr="002B272F">
        <w:rPr>
          <w:rFonts w:ascii="Times New Roman" w:hAnsi="Times New Roman" w:cs="Times New Roman"/>
          <w:sz w:val="24"/>
          <w:szCs w:val="24"/>
        </w:rPr>
        <w:t xml:space="preserve"> as </w:t>
      </w:r>
      <w:r>
        <w:rPr>
          <w:rFonts w:ascii="Times New Roman" w:hAnsi="Times New Roman" w:cs="Times New Roman"/>
          <w:sz w:val="24"/>
          <w:szCs w:val="24"/>
        </w:rPr>
        <w:t xml:space="preserve">well as rejecting Reserve’s </w:t>
      </w:r>
      <w:r w:rsidRPr="00CB1E16">
        <w:rPr>
          <w:rFonts w:ascii="Times New Roman" w:hAnsi="Times New Roman" w:cs="Times New Roman"/>
          <w:sz w:val="24"/>
          <w:szCs w:val="24"/>
        </w:rPr>
        <w:t xml:space="preserve">entire insurance </w:t>
      </w:r>
      <w:r w:rsidRPr="00F14F5A">
        <w:rPr>
          <w:rFonts w:ascii="Times New Roman" w:hAnsi="Times New Roman" w:cs="Times New Roman"/>
          <w:sz w:val="24"/>
          <w:szCs w:val="24"/>
        </w:rPr>
        <w:t>arrangement</w:t>
      </w:r>
      <w:r w:rsidRPr="00E5235D">
        <w:rPr>
          <w:rFonts w:ascii="Times New Roman" w:hAnsi="Times New Roman" w:cs="Times New Roman"/>
          <w:sz w:val="24"/>
          <w:szCs w:val="24"/>
        </w:rPr>
        <w:t xml:space="preserve"> –</w:t>
      </w:r>
      <w:r>
        <w:rPr>
          <w:rFonts w:ascii="Times New Roman" w:hAnsi="Times New Roman" w:cs="Times New Roman"/>
          <w:sz w:val="24"/>
          <w:szCs w:val="24"/>
        </w:rPr>
        <w:t xml:space="preserve"> all several hundred policies underwritten by Reserve with non-affiliates and the reinsurance Reserve assumed from the commercial markets – in concluding </w:t>
      </w:r>
      <w:r w:rsidRPr="0091010B">
        <w:rPr>
          <w:rFonts w:ascii="Times New Roman" w:hAnsi="Times New Roman" w:cs="Times New Roman"/>
          <w:sz w:val="24"/>
          <w:szCs w:val="24"/>
        </w:rPr>
        <w:t xml:space="preserve">that no insurance existed anywhere at any time whatsoever for any of Reserve’s </w:t>
      </w:r>
      <w:r>
        <w:rPr>
          <w:rFonts w:ascii="Times New Roman" w:hAnsi="Times New Roman" w:cs="Times New Roman"/>
          <w:sz w:val="24"/>
          <w:szCs w:val="24"/>
        </w:rPr>
        <w:t xml:space="preserve">underwritten </w:t>
      </w:r>
      <w:r w:rsidRPr="0091010B">
        <w:rPr>
          <w:rFonts w:ascii="Times New Roman" w:hAnsi="Times New Roman" w:cs="Times New Roman"/>
          <w:sz w:val="24"/>
          <w:szCs w:val="24"/>
        </w:rPr>
        <w:t xml:space="preserve">policies. The Court went outside the record in developing </w:t>
      </w:r>
      <w:r>
        <w:rPr>
          <w:rFonts w:ascii="Times New Roman" w:hAnsi="Times New Roman" w:cs="Times New Roman"/>
          <w:sz w:val="24"/>
          <w:szCs w:val="24"/>
        </w:rPr>
        <w:t xml:space="preserve">facts and </w:t>
      </w:r>
      <w:r w:rsidRPr="0091010B">
        <w:rPr>
          <w:rFonts w:ascii="Times New Roman" w:hAnsi="Times New Roman" w:cs="Times New Roman"/>
          <w:sz w:val="24"/>
          <w:szCs w:val="24"/>
        </w:rPr>
        <w:t>new theories that were never tried.</w:t>
      </w:r>
    </w:p>
    <w:p w14:paraId="6AE94224" w14:textId="77777777" w:rsidR="00250577" w:rsidRPr="001C763B" w:rsidRDefault="00250577" w:rsidP="00937470">
      <w:pPr>
        <w:spacing w:after="0" w:line="240" w:lineRule="auto"/>
        <w:rPr>
          <w:rFonts w:ascii="Times New Roman" w:hAnsi="Times New Roman" w:cs="Times New Roman"/>
          <w:sz w:val="24"/>
          <w:szCs w:val="24"/>
        </w:rPr>
      </w:pPr>
    </w:p>
    <w:p w14:paraId="0E41BA53" w14:textId="40E8B7FB" w:rsidR="00250577" w:rsidRDefault="00250577" w:rsidP="00371171">
      <w:pPr>
        <w:pStyle w:val="ListParagraph"/>
        <w:numPr>
          <w:ilvl w:val="0"/>
          <w:numId w:val="7"/>
        </w:numPr>
        <w:spacing w:after="0" w:line="240" w:lineRule="auto"/>
        <w:rPr>
          <w:rFonts w:ascii="Times New Roman" w:hAnsi="Times New Roman" w:cs="Times New Roman"/>
          <w:sz w:val="24"/>
          <w:szCs w:val="24"/>
        </w:rPr>
      </w:pPr>
      <w:r w:rsidRPr="0091010B">
        <w:rPr>
          <w:rFonts w:ascii="Times New Roman" w:hAnsi="Times New Roman" w:cs="Times New Roman"/>
          <w:sz w:val="24"/>
          <w:szCs w:val="24"/>
        </w:rPr>
        <w:t xml:space="preserve">There was no </w:t>
      </w:r>
      <w:r>
        <w:rPr>
          <w:rFonts w:ascii="Times New Roman" w:hAnsi="Times New Roman" w:cs="Times New Roman"/>
          <w:sz w:val="24"/>
          <w:szCs w:val="24"/>
        </w:rPr>
        <w:t xml:space="preserve">evidence offered </w:t>
      </w:r>
      <w:r w:rsidRPr="0091010B">
        <w:rPr>
          <w:rFonts w:ascii="Times New Roman" w:hAnsi="Times New Roman" w:cs="Times New Roman"/>
          <w:sz w:val="24"/>
          <w:szCs w:val="24"/>
        </w:rPr>
        <w:t xml:space="preserve">by the government </w:t>
      </w:r>
      <w:r>
        <w:rPr>
          <w:rFonts w:ascii="Times New Roman" w:hAnsi="Times New Roman" w:cs="Times New Roman"/>
          <w:sz w:val="24"/>
          <w:szCs w:val="24"/>
        </w:rPr>
        <w:t xml:space="preserve">to assert </w:t>
      </w:r>
      <w:r w:rsidRPr="0091010B">
        <w:rPr>
          <w:rFonts w:ascii="Times New Roman" w:hAnsi="Times New Roman" w:cs="Times New Roman"/>
          <w:sz w:val="24"/>
          <w:szCs w:val="24"/>
        </w:rPr>
        <w:t xml:space="preserve">that any of the commercial policies underwritten by </w:t>
      </w:r>
      <w:r>
        <w:rPr>
          <w:rFonts w:ascii="Times New Roman" w:hAnsi="Times New Roman" w:cs="Times New Roman"/>
          <w:sz w:val="24"/>
          <w:szCs w:val="24"/>
        </w:rPr>
        <w:t xml:space="preserve">the insured’s commercial insurers </w:t>
      </w:r>
      <w:r w:rsidRPr="0091010B">
        <w:rPr>
          <w:rFonts w:ascii="Times New Roman" w:hAnsi="Times New Roman" w:cs="Times New Roman"/>
          <w:sz w:val="24"/>
          <w:szCs w:val="24"/>
        </w:rPr>
        <w:t xml:space="preserve">duplicated </w:t>
      </w:r>
      <w:r>
        <w:rPr>
          <w:rFonts w:ascii="Times New Roman" w:hAnsi="Times New Roman" w:cs="Times New Roman"/>
          <w:sz w:val="24"/>
          <w:szCs w:val="24"/>
        </w:rPr>
        <w:t xml:space="preserve">the policies </w:t>
      </w:r>
      <w:r w:rsidRPr="0091010B">
        <w:rPr>
          <w:rFonts w:ascii="Times New Roman" w:hAnsi="Times New Roman" w:cs="Times New Roman"/>
          <w:sz w:val="24"/>
          <w:szCs w:val="24"/>
        </w:rPr>
        <w:t xml:space="preserve">issued by Reserve.  Yet the Court, </w:t>
      </w:r>
      <w:r w:rsidRPr="0091010B">
        <w:rPr>
          <w:rFonts w:ascii="Times New Roman" w:hAnsi="Times New Roman" w:cs="Times New Roman"/>
          <w:i/>
          <w:sz w:val="24"/>
          <w:szCs w:val="24"/>
        </w:rPr>
        <w:t>sua sponte</w:t>
      </w:r>
      <w:r w:rsidRPr="0091010B">
        <w:rPr>
          <w:rFonts w:ascii="Times New Roman" w:hAnsi="Times New Roman" w:cs="Times New Roman"/>
          <w:sz w:val="24"/>
          <w:szCs w:val="24"/>
        </w:rPr>
        <w:t xml:space="preserve">, </w:t>
      </w:r>
      <w:r>
        <w:rPr>
          <w:rFonts w:ascii="Times New Roman" w:hAnsi="Times New Roman" w:cs="Times New Roman"/>
          <w:sz w:val="24"/>
          <w:szCs w:val="24"/>
        </w:rPr>
        <w:t>cited to the following in concluding that Reserve’s policies were not policies of insurance</w:t>
      </w:r>
      <w:r w:rsidRPr="0091010B">
        <w:rPr>
          <w:rFonts w:ascii="Times New Roman" w:hAnsi="Times New Roman" w:cs="Times New Roman"/>
          <w:sz w:val="24"/>
          <w:szCs w:val="24"/>
        </w:rPr>
        <w:t xml:space="preserve">: (1) that Reserve’s direct policies contained language that they were “excess” to the commercial policies (even though such policies </w:t>
      </w:r>
      <w:r>
        <w:rPr>
          <w:rFonts w:ascii="Times New Roman" w:hAnsi="Times New Roman" w:cs="Times New Roman"/>
          <w:sz w:val="24"/>
          <w:szCs w:val="24"/>
        </w:rPr>
        <w:t xml:space="preserve">by their express terms </w:t>
      </w:r>
      <w:r w:rsidRPr="0091010B">
        <w:rPr>
          <w:rFonts w:ascii="Times New Roman" w:hAnsi="Times New Roman" w:cs="Times New Roman"/>
          <w:sz w:val="24"/>
          <w:szCs w:val="24"/>
        </w:rPr>
        <w:t>were not duplicative with any commercial policies)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22"/>
      </w:r>
      <w:r>
        <w:rPr>
          <w:rFonts w:ascii="Times New Roman" w:hAnsi="Times New Roman" w:cs="Times New Roman"/>
          <w:sz w:val="24"/>
          <w:szCs w:val="24"/>
        </w:rPr>
        <w:t xml:space="preserve"> discussed above, </w:t>
      </w:r>
      <w:r w:rsidRPr="0091010B">
        <w:rPr>
          <w:rFonts w:ascii="Times New Roman" w:hAnsi="Times New Roman" w:cs="Times New Roman"/>
          <w:sz w:val="24"/>
          <w:szCs w:val="24"/>
        </w:rPr>
        <w:t>and (2) that Peak had not previously exhausted the policy limits of its commercial insurance coverages.</w:t>
      </w:r>
      <w:r>
        <w:rPr>
          <w:rStyle w:val="EndnoteReference"/>
          <w:rFonts w:ascii="Times New Roman" w:hAnsi="Times New Roman" w:cs="Times New Roman"/>
          <w:sz w:val="24"/>
          <w:szCs w:val="24"/>
        </w:rPr>
        <w:endnoteReference w:id="123"/>
      </w:r>
      <w:r>
        <w:rPr>
          <w:rFonts w:ascii="Times New Roman" w:hAnsi="Times New Roman" w:cs="Times New Roman"/>
          <w:sz w:val="24"/>
          <w:szCs w:val="24"/>
        </w:rPr>
        <w:t xml:space="preserve"> Neither the government nor any witness made these arguments, which are unsupported by the evidence and were not issues at trial.  The Opinion manipulated the policy language and then arrived at an erroneous conclusion. </w:t>
      </w:r>
    </w:p>
    <w:p w14:paraId="64EA189B" w14:textId="77777777" w:rsidR="00250577" w:rsidRPr="00371171" w:rsidRDefault="00250577" w:rsidP="00371171">
      <w:pPr>
        <w:spacing w:after="0" w:line="240" w:lineRule="auto"/>
        <w:rPr>
          <w:rFonts w:ascii="Times New Roman" w:hAnsi="Times New Roman" w:cs="Times New Roman"/>
          <w:sz w:val="24"/>
          <w:szCs w:val="24"/>
        </w:rPr>
      </w:pPr>
    </w:p>
    <w:p w14:paraId="0A95B375" w14:textId="6E34C87F" w:rsidR="00250577" w:rsidRPr="0091010B" w:rsidRDefault="00250577" w:rsidP="00937470">
      <w:pPr>
        <w:pStyle w:val="ListParagraph"/>
        <w:numPr>
          <w:ilvl w:val="0"/>
          <w:numId w:val="7"/>
        </w:numPr>
        <w:spacing w:after="0" w:line="240" w:lineRule="auto"/>
        <w:rPr>
          <w:rFonts w:ascii="Times New Roman" w:hAnsi="Times New Roman" w:cs="Times New Roman"/>
          <w:sz w:val="24"/>
          <w:szCs w:val="24"/>
        </w:rPr>
      </w:pPr>
      <w:r w:rsidRPr="0091010B">
        <w:rPr>
          <w:rFonts w:ascii="Times New Roman" w:hAnsi="Times New Roman" w:cs="Times New Roman"/>
          <w:sz w:val="24"/>
          <w:szCs w:val="24"/>
        </w:rPr>
        <w:t xml:space="preserve">There was also no </w:t>
      </w:r>
      <w:r>
        <w:rPr>
          <w:rFonts w:ascii="Times New Roman" w:hAnsi="Times New Roman" w:cs="Times New Roman"/>
          <w:sz w:val="24"/>
          <w:szCs w:val="24"/>
        </w:rPr>
        <w:t>evidence or testimony offered</w:t>
      </w:r>
      <w:r w:rsidRPr="0091010B">
        <w:rPr>
          <w:rFonts w:ascii="Times New Roman" w:hAnsi="Times New Roman" w:cs="Times New Roman"/>
          <w:sz w:val="24"/>
          <w:szCs w:val="24"/>
        </w:rPr>
        <w:t xml:space="preserve"> by the government </w:t>
      </w:r>
      <w:r>
        <w:rPr>
          <w:rFonts w:ascii="Times New Roman" w:hAnsi="Times New Roman" w:cs="Times New Roman"/>
          <w:sz w:val="24"/>
          <w:szCs w:val="24"/>
        </w:rPr>
        <w:t xml:space="preserve">to suggest </w:t>
      </w:r>
      <w:r w:rsidRPr="0091010B">
        <w:rPr>
          <w:rFonts w:ascii="Times New Roman" w:hAnsi="Times New Roman" w:cs="Times New Roman"/>
          <w:sz w:val="24"/>
          <w:szCs w:val="24"/>
        </w:rPr>
        <w:t>that the policies issued by Reserve were remote from the risks of Peak and the other insureds</w:t>
      </w:r>
      <w:r>
        <w:rPr>
          <w:rFonts w:ascii="Times New Roman" w:hAnsi="Times New Roman" w:cs="Times New Roman"/>
          <w:sz w:val="24"/>
          <w:szCs w:val="24"/>
        </w:rPr>
        <w:t xml:space="preserve"> or to </w:t>
      </w:r>
      <w:r>
        <w:rPr>
          <w:rFonts w:ascii="Times New Roman" w:hAnsi="Times New Roman" w:cs="Times New Roman"/>
          <w:sz w:val="24"/>
          <w:szCs w:val="24"/>
        </w:rPr>
        <w:lastRenderedPageBreak/>
        <w:t>suggest that Peak did not have a legitimate need for acquiring each of Reserve’s direct issued policies based on the risks that were specifically identified in Peak’s feasibility study</w:t>
      </w:r>
      <w:r w:rsidRPr="0091010B">
        <w:rPr>
          <w:rFonts w:ascii="Times New Roman" w:hAnsi="Times New Roman" w:cs="Times New Roman"/>
          <w:sz w:val="24"/>
          <w:szCs w:val="24"/>
        </w:rPr>
        <w:t xml:space="preserve">.  For example, this was not the case of an errant marine cargo </w:t>
      </w:r>
      <w:r>
        <w:rPr>
          <w:rFonts w:ascii="Times New Roman" w:hAnsi="Times New Roman" w:cs="Times New Roman"/>
          <w:sz w:val="24"/>
          <w:szCs w:val="24"/>
        </w:rPr>
        <w:t xml:space="preserve">policy </w:t>
      </w:r>
      <w:r w:rsidRPr="0091010B">
        <w:rPr>
          <w:rFonts w:ascii="Times New Roman" w:hAnsi="Times New Roman" w:cs="Times New Roman"/>
          <w:sz w:val="24"/>
          <w:szCs w:val="24"/>
        </w:rPr>
        <w:t xml:space="preserve">being issued for a company not engaged in </w:t>
      </w:r>
      <w:r>
        <w:rPr>
          <w:rFonts w:ascii="Times New Roman" w:hAnsi="Times New Roman" w:cs="Times New Roman"/>
          <w:sz w:val="24"/>
          <w:szCs w:val="24"/>
        </w:rPr>
        <w:t xml:space="preserve">shipping.  </w:t>
      </w:r>
      <w:r w:rsidRPr="0091010B">
        <w:rPr>
          <w:rFonts w:ascii="Times New Roman" w:hAnsi="Times New Roman" w:cs="Times New Roman"/>
          <w:sz w:val="24"/>
          <w:szCs w:val="24"/>
        </w:rPr>
        <w:t xml:space="preserve">Yet the Court, </w:t>
      </w:r>
      <w:r w:rsidRPr="0091010B">
        <w:rPr>
          <w:rFonts w:ascii="Times New Roman" w:hAnsi="Times New Roman" w:cs="Times New Roman"/>
          <w:i/>
          <w:sz w:val="24"/>
          <w:szCs w:val="24"/>
        </w:rPr>
        <w:t>sua sponte</w:t>
      </w:r>
      <w:r w:rsidRPr="0091010B">
        <w:rPr>
          <w:rFonts w:ascii="Times New Roman" w:hAnsi="Times New Roman" w:cs="Times New Roman"/>
          <w:sz w:val="24"/>
          <w:szCs w:val="24"/>
        </w:rPr>
        <w:t xml:space="preserve">, </w:t>
      </w:r>
      <w:r>
        <w:rPr>
          <w:rFonts w:ascii="Times New Roman" w:hAnsi="Times New Roman" w:cs="Times New Roman"/>
          <w:sz w:val="24"/>
          <w:szCs w:val="24"/>
        </w:rPr>
        <w:t xml:space="preserve">stated </w:t>
      </w:r>
      <w:r w:rsidRPr="0091010B">
        <w:rPr>
          <w:rFonts w:ascii="Times New Roman" w:hAnsi="Times New Roman" w:cs="Times New Roman"/>
          <w:sz w:val="24"/>
          <w:szCs w:val="24"/>
        </w:rPr>
        <w:t>that it did not view the polices that were issued to Peak by Reserve as having a “genuine need” or “legitimate business purpose”</w:t>
      </w:r>
      <w:r>
        <w:rPr>
          <w:rFonts w:ascii="Times New Roman" w:hAnsi="Times New Roman" w:cs="Times New Roman"/>
          <w:sz w:val="24"/>
          <w:szCs w:val="24"/>
        </w:rPr>
        <w:t xml:space="preserve"> all without any support other than the Court’s summary statement to this effect.</w:t>
      </w:r>
      <w:r>
        <w:rPr>
          <w:rStyle w:val="EndnoteReference"/>
          <w:rFonts w:ascii="Times New Roman" w:hAnsi="Times New Roman" w:cs="Times New Roman"/>
          <w:sz w:val="24"/>
          <w:szCs w:val="24"/>
        </w:rPr>
        <w:endnoteReference w:id="124"/>
      </w:r>
      <w:r>
        <w:rPr>
          <w:rFonts w:ascii="Times New Roman" w:hAnsi="Times New Roman" w:cs="Times New Roman"/>
          <w:sz w:val="24"/>
          <w:szCs w:val="24"/>
        </w:rPr>
        <w:t xml:space="preserve">  Again, the Court created matters of controversy on issues not tried by the parties that even the government considered to be non-issues.  The Court not only created the issue but then found in favor of the respondent.</w:t>
      </w:r>
    </w:p>
    <w:p w14:paraId="2C1256EA" w14:textId="77777777" w:rsidR="00250577" w:rsidRPr="009D7D8A" w:rsidRDefault="00250577" w:rsidP="00937470">
      <w:pPr>
        <w:pStyle w:val="ListParagraph"/>
        <w:rPr>
          <w:rFonts w:ascii="Times New Roman" w:hAnsi="Times New Roman" w:cs="Times New Roman"/>
          <w:sz w:val="24"/>
          <w:szCs w:val="24"/>
        </w:rPr>
      </w:pPr>
    </w:p>
    <w:p w14:paraId="569D0674" w14:textId="6D6D7247" w:rsidR="00250577" w:rsidRPr="0091010B" w:rsidRDefault="00250577" w:rsidP="00937470">
      <w:pPr>
        <w:pStyle w:val="ListParagraph"/>
        <w:numPr>
          <w:ilvl w:val="0"/>
          <w:numId w:val="7"/>
        </w:numPr>
        <w:spacing w:after="0" w:line="240" w:lineRule="auto"/>
        <w:rPr>
          <w:rFonts w:ascii="Times New Roman" w:hAnsi="Times New Roman" w:cs="Times New Roman"/>
          <w:sz w:val="24"/>
          <w:szCs w:val="24"/>
        </w:rPr>
      </w:pPr>
      <w:r w:rsidRPr="0091010B">
        <w:rPr>
          <w:rFonts w:ascii="Times New Roman" w:hAnsi="Times New Roman" w:cs="Times New Roman"/>
          <w:sz w:val="24"/>
          <w:szCs w:val="24"/>
        </w:rPr>
        <w:t xml:space="preserve">The Court did not attempt to reconcile </w:t>
      </w:r>
      <w:r>
        <w:rPr>
          <w:rFonts w:ascii="Times New Roman" w:hAnsi="Times New Roman" w:cs="Times New Roman"/>
          <w:sz w:val="24"/>
          <w:szCs w:val="24"/>
        </w:rPr>
        <w:t xml:space="preserve">– because it couldn’t – </w:t>
      </w:r>
      <w:r w:rsidRPr="0091010B">
        <w:rPr>
          <w:rFonts w:ascii="Times New Roman" w:hAnsi="Times New Roman" w:cs="Times New Roman"/>
          <w:sz w:val="24"/>
          <w:szCs w:val="24"/>
        </w:rPr>
        <w:t>its perceived lack of a “genuine need for acquiring additional insurance” with the fact that one of the direct written insurance policies purchase</w:t>
      </w:r>
      <w:r>
        <w:rPr>
          <w:rFonts w:ascii="Times New Roman" w:hAnsi="Times New Roman" w:cs="Times New Roman"/>
          <w:sz w:val="24"/>
          <w:szCs w:val="24"/>
        </w:rPr>
        <w:t>d</w:t>
      </w:r>
      <w:r w:rsidRPr="0091010B">
        <w:rPr>
          <w:rFonts w:ascii="Times New Roman" w:hAnsi="Times New Roman" w:cs="Times New Roman"/>
          <w:sz w:val="24"/>
          <w:szCs w:val="24"/>
        </w:rPr>
        <w:t xml:space="preserve"> from Reserve by Peak </w:t>
      </w:r>
      <w:r>
        <w:rPr>
          <w:rFonts w:ascii="Times New Roman" w:hAnsi="Times New Roman" w:cs="Times New Roman"/>
          <w:sz w:val="24"/>
          <w:szCs w:val="24"/>
        </w:rPr>
        <w:t xml:space="preserve">resulted in a </w:t>
      </w:r>
      <w:r w:rsidRPr="0091010B">
        <w:rPr>
          <w:rFonts w:ascii="Times New Roman" w:hAnsi="Times New Roman" w:cs="Times New Roman"/>
          <w:sz w:val="24"/>
          <w:szCs w:val="24"/>
        </w:rPr>
        <w:t xml:space="preserve">$339,820 </w:t>
      </w:r>
      <w:r>
        <w:rPr>
          <w:rFonts w:ascii="Times New Roman" w:hAnsi="Times New Roman" w:cs="Times New Roman"/>
          <w:sz w:val="24"/>
          <w:szCs w:val="24"/>
        </w:rPr>
        <w:t xml:space="preserve">claims </w:t>
      </w:r>
      <w:r w:rsidRPr="0091010B">
        <w:rPr>
          <w:rFonts w:ascii="Times New Roman" w:hAnsi="Times New Roman" w:cs="Times New Roman"/>
          <w:sz w:val="24"/>
          <w:szCs w:val="24"/>
        </w:rPr>
        <w:t xml:space="preserve">payment by the captive to the insured to cover actual losses </w:t>
      </w:r>
      <w:r>
        <w:rPr>
          <w:rFonts w:ascii="Times New Roman" w:hAnsi="Times New Roman" w:cs="Times New Roman"/>
          <w:sz w:val="24"/>
          <w:szCs w:val="24"/>
        </w:rPr>
        <w:t>s</w:t>
      </w:r>
      <w:r w:rsidRPr="0091010B">
        <w:rPr>
          <w:rFonts w:ascii="Times New Roman" w:hAnsi="Times New Roman" w:cs="Times New Roman"/>
          <w:sz w:val="24"/>
          <w:szCs w:val="24"/>
        </w:rPr>
        <w:t>uffered as a result of the loss of a major customer.</w:t>
      </w:r>
      <w:r>
        <w:rPr>
          <w:rFonts w:ascii="Times New Roman" w:hAnsi="Times New Roman" w:cs="Times New Roman"/>
          <w:sz w:val="24"/>
          <w:szCs w:val="24"/>
        </w:rPr>
        <w:t xml:space="preserve">  Nor did the Court explain the </w:t>
      </w:r>
      <w:r w:rsidRPr="00C11BE3">
        <w:rPr>
          <w:rFonts w:ascii="Times New Roman" w:hAnsi="Times New Roman" w:cs="Times New Roman"/>
          <w:sz w:val="24"/>
          <w:szCs w:val="24"/>
        </w:rPr>
        <w:t>$187,891.99</w:t>
      </w:r>
      <w:r>
        <w:rPr>
          <w:rFonts w:ascii="Times New Roman" w:hAnsi="Times New Roman" w:cs="Times New Roman"/>
          <w:sz w:val="24"/>
          <w:szCs w:val="24"/>
        </w:rPr>
        <w:t xml:space="preserve"> in losses paid by Reserve to Lyndon’s insureds which the Court called “de minimis”.  </w:t>
      </w:r>
    </w:p>
    <w:p w14:paraId="610D79DD" w14:textId="77777777" w:rsidR="00250577" w:rsidRPr="009D7D8A" w:rsidRDefault="00250577" w:rsidP="00937470">
      <w:pPr>
        <w:pStyle w:val="ListParagraph"/>
        <w:rPr>
          <w:rFonts w:ascii="Times New Roman" w:hAnsi="Times New Roman" w:cs="Times New Roman"/>
          <w:sz w:val="24"/>
          <w:szCs w:val="24"/>
        </w:rPr>
      </w:pPr>
    </w:p>
    <w:p w14:paraId="5D08F870" w14:textId="026D605F" w:rsidR="00250577" w:rsidRPr="00EB33BE" w:rsidRDefault="00250577" w:rsidP="00937470">
      <w:pPr>
        <w:pStyle w:val="ListParagraph"/>
        <w:numPr>
          <w:ilvl w:val="0"/>
          <w:numId w:val="7"/>
        </w:numPr>
        <w:spacing w:after="0" w:line="240" w:lineRule="auto"/>
        <w:rPr>
          <w:rFonts w:ascii="Times New Roman" w:hAnsi="Times New Roman" w:cs="Times New Roman"/>
          <w:sz w:val="24"/>
          <w:szCs w:val="24"/>
        </w:rPr>
      </w:pPr>
      <w:r w:rsidRPr="0091010B">
        <w:rPr>
          <w:rFonts w:ascii="Times New Roman" w:hAnsi="Times New Roman" w:cs="Times New Roman"/>
          <w:sz w:val="24"/>
          <w:szCs w:val="24"/>
        </w:rPr>
        <w:t xml:space="preserve">Although neither PoolRe nor any of the ceding entities of the reinsurance assumed nor the underlying policies issued by a publicly held commercial carrier (Lyndon) was before the Court, the Court took fault with </w:t>
      </w:r>
      <w:r>
        <w:rPr>
          <w:rFonts w:ascii="Times New Roman" w:hAnsi="Times New Roman" w:cs="Times New Roman"/>
          <w:sz w:val="24"/>
          <w:szCs w:val="24"/>
        </w:rPr>
        <w:t>this industry standard re</w:t>
      </w:r>
      <w:r w:rsidRPr="0091010B">
        <w:rPr>
          <w:rFonts w:ascii="Times New Roman" w:hAnsi="Times New Roman" w:cs="Times New Roman"/>
          <w:sz w:val="24"/>
          <w:szCs w:val="24"/>
        </w:rPr>
        <w:t xml:space="preserve">insurance </w:t>
      </w:r>
      <w:r>
        <w:rPr>
          <w:rFonts w:ascii="Times New Roman" w:hAnsi="Times New Roman" w:cs="Times New Roman"/>
          <w:sz w:val="24"/>
          <w:szCs w:val="24"/>
        </w:rPr>
        <w:t xml:space="preserve">(ceding) </w:t>
      </w:r>
      <w:r w:rsidRPr="0091010B">
        <w:rPr>
          <w:rFonts w:ascii="Times New Roman" w:hAnsi="Times New Roman" w:cs="Times New Roman"/>
          <w:sz w:val="24"/>
          <w:szCs w:val="24"/>
        </w:rPr>
        <w:t>arrangement.</w:t>
      </w:r>
      <w:r>
        <w:rPr>
          <w:rStyle w:val="EndnoteReference"/>
          <w:rFonts w:ascii="Times New Roman" w:hAnsi="Times New Roman" w:cs="Times New Roman"/>
          <w:sz w:val="24"/>
          <w:szCs w:val="24"/>
        </w:rPr>
        <w:endnoteReference w:id="125"/>
      </w:r>
      <w:r w:rsidRPr="0091010B">
        <w:rPr>
          <w:rFonts w:ascii="Times New Roman" w:hAnsi="Times New Roman" w:cs="Times New Roman"/>
          <w:sz w:val="24"/>
          <w:szCs w:val="24"/>
        </w:rPr>
        <w:t xml:space="preserve">  The Court cited no authority for the ceding arrangement being deficient and appeared to confuse the ceding reinsurance arrangement as being facultative reinsurance (rather than treaty insurance), </w:t>
      </w:r>
      <w:r>
        <w:rPr>
          <w:rFonts w:ascii="Times New Roman" w:hAnsi="Times New Roman" w:cs="Times New Roman"/>
          <w:sz w:val="24"/>
          <w:szCs w:val="24"/>
        </w:rPr>
        <w:t xml:space="preserve">faulting </w:t>
      </w:r>
      <w:r w:rsidRPr="0091010B">
        <w:rPr>
          <w:rFonts w:ascii="Times New Roman" w:hAnsi="Times New Roman" w:cs="Times New Roman"/>
          <w:sz w:val="24"/>
          <w:szCs w:val="24"/>
        </w:rPr>
        <w:t xml:space="preserve">Reserve </w:t>
      </w:r>
      <w:r>
        <w:rPr>
          <w:rFonts w:ascii="Times New Roman" w:hAnsi="Times New Roman" w:cs="Times New Roman"/>
          <w:sz w:val="24"/>
          <w:szCs w:val="24"/>
        </w:rPr>
        <w:t xml:space="preserve">for not putting </w:t>
      </w:r>
      <w:r w:rsidRPr="0091010B">
        <w:rPr>
          <w:rFonts w:ascii="Times New Roman" w:hAnsi="Times New Roman" w:cs="Times New Roman"/>
          <w:sz w:val="24"/>
          <w:szCs w:val="24"/>
        </w:rPr>
        <w:t xml:space="preserve">into evidence Lyndon’s 100,000+ </w:t>
      </w:r>
      <w:r>
        <w:rPr>
          <w:rFonts w:ascii="Times New Roman" w:hAnsi="Times New Roman" w:cs="Times New Roman"/>
          <w:sz w:val="24"/>
          <w:szCs w:val="24"/>
        </w:rPr>
        <w:t xml:space="preserve">underlying </w:t>
      </w:r>
      <w:r w:rsidRPr="0091010B">
        <w:rPr>
          <w:rFonts w:ascii="Times New Roman" w:hAnsi="Times New Roman" w:cs="Times New Roman"/>
          <w:sz w:val="24"/>
          <w:szCs w:val="24"/>
        </w:rPr>
        <w:t>policies.</w:t>
      </w:r>
      <w:r>
        <w:rPr>
          <w:rStyle w:val="EndnoteReference"/>
          <w:rFonts w:ascii="Times New Roman" w:hAnsi="Times New Roman" w:cs="Times New Roman"/>
          <w:sz w:val="24"/>
          <w:szCs w:val="24"/>
        </w:rPr>
        <w:endnoteReference w:id="126"/>
      </w:r>
      <w:r w:rsidRPr="0091010B">
        <w:rPr>
          <w:rFonts w:ascii="Times New Roman" w:hAnsi="Times New Roman" w:cs="Times New Roman"/>
          <w:sz w:val="24"/>
          <w:szCs w:val="24"/>
        </w:rPr>
        <w:t xml:space="preserve"> There was no </w:t>
      </w:r>
      <w:r>
        <w:rPr>
          <w:rFonts w:ascii="Times New Roman" w:hAnsi="Times New Roman" w:cs="Times New Roman"/>
          <w:sz w:val="24"/>
          <w:szCs w:val="24"/>
        </w:rPr>
        <w:t xml:space="preserve">evidence presented by the government </w:t>
      </w:r>
      <w:r w:rsidRPr="0091010B">
        <w:rPr>
          <w:rFonts w:ascii="Times New Roman" w:hAnsi="Times New Roman" w:cs="Times New Roman"/>
          <w:sz w:val="24"/>
          <w:szCs w:val="24"/>
        </w:rPr>
        <w:t xml:space="preserve">at trial </w:t>
      </w:r>
      <w:r>
        <w:rPr>
          <w:rFonts w:ascii="Times New Roman" w:hAnsi="Times New Roman" w:cs="Times New Roman"/>
          <w:sz w:val="24"/>
          <w:szCs w:val="24"/>
        </w:rPr>
        <w:t xml:space="preserve">to even suggest </w:t>
      </w:r>
      <w:r w:rsidRPr="0091010B">
        <w:rPr>
          <w:rFonts w:ascii="Times New Roman" w:hAnsi="Times New Roman" w:cs="Times New Roman"/>
          <w:sz w:val="24"/>
          <w:szCs w:val="24"/>
        </w:rPr>
        <w:t>that th</w:t>
      </w:r>
      <w:r>
        <w:rPr>
          <w:rFonts w:ascii="Times New Roman" w:hAnsi="Times New Roman" w:cs="Times New Roman"/>
          <w:sz w:val="24"/>
          <w:szCs w:val="24"/>
        </w:rPr>
        <w:t>is</w:t>
      </w:r>
      <w:r w:rsidRPr="0091010B">
        <w:rPr>
          <w:rFonts w:ascii="Times New Roman" w:hAnsi="Times New Roman" w:cs="Times New Roman"/>
          <w:sz w:val="24"/>
          <w:szCs w:val="24"/>
        </w:rPr>
        <w:t xml:space="preserve"> third</w:t>
      </w:r>
      <w:r>
        <w:rPr>
          <w:rFonts w:ascii="Times New Roman" w:hAnsi="Times New Roman" w:cs="Times New Roman"/>
          <w:sz w:val="24"/>
          <w:szCs w:val="24"/>
        </w:rPr>
        <w:t>-</w:t>
      </w:r>
      <w:r w:rsidRPr="0091010B">
        <w:rPr>
          <w:rFonts w:ascii="Times New Roman" w:hAnsi="Times New Roman" w:cs="Times New Roman"/>
          <w:sz w:val="24"/>
          <w:szCs w:val="24"/>
        </w:rPr>
        <w:t xml:space="preserve">party </w:t>
      </w:r>
      <w:r w:rsidRPr="00EB33BE">
        <w:rPr>
          <w:rFonts w:ascii="Times New Roman" w:hAnsi="Times New Roman" w:cs="Times New Roman"/>
          <w:sz w:val="24"/>
          <w:szCs w:val="24"/>
        </w:rPr>
        <w:t>insurance was not insurance for federal income tax purposes</w:t>
      </w:r>
      <w:r>
        <w:rPr>
          <w:rFonts w:ascii="Times New Roman" w:hAnsi="Times New Roman" w:cs="Times New Roman"/>
          <w:sz w:val="24"/>
          <w:szCs w:val="24"/>
        </w:rPr>
        <w:t xml:space="preserve">, rejecting without citation or explanation, the uncontroverted testimony of actuary Gary Fagg.  </w:t>
      </w:r>
      <w:r w:rsidRPr="00EB33BE">
        <w:rPr>
          <w:rFonts w:ascii="Times New Roman" w:hAnsi="Times New Roman" w:cs="Times New Roman"/>
          <w:sz w:val="24"/>
          <w:szCs w:val="24"/>
        </w:rPr>
        <w:t>Nonetheless, the Court rejected such as insurance.</w:t>
      </w:r>
    </w:p>
    <w:p w14:paraId="3C2FC2C5" w14:textId="77777777" w:rsidR="00250577" w:rsidRPr="00EB33BE" w:rsidRDefault="00250577" w:rsidP="00937470">
      <w:pPr>
        <w:spacing w:after="0" w:line="240" w:lineRule="auto"/>
        <w:rPr>
          <w:rFonts w:ascii="Times New Roman" w:hAnsi="Times New Roman" w:cs="Times New Roman"/>
          <w:sz w:val="24"/>
          <w:szCs w:val="24"/>
        </w:rPr>
      </w:pPr>
    </w:p>
    <w:p w14:paraId="524AA175" w14:textId="58AABEFE" w:rsidR="00250577" w:rsidRDefault="00250577" w:rsidP="00190F92">
      <w:pPr>
        <w:pStyle w:val="ListParagraph"/>
        <w:numPr>
          <w:ilvl w:val="0"/>
          <w:numId w:val="7"/>
        </w:numPr>
        <w:spacing w:after="0" w:line="240" w:lineRule="auto"/>
        <w:rPr>
          <w:rFonts w:ascii="Times New Roman" w:hAnsi="Times New Roman" w:cs="Times New Roman"/>
          <w:sz w:val="24"/>
          <w:szCs w:val="24"/>
        </w:rPr>
      </w:pPr>
      <w:r w:rsidRPr="00EB33BE">
        <w:rPr>
          <w:rFonts w:ascii="Times New Roman" w:hAnsi="Times New Roman" w:cs="Times New Roman"/>
          <w:sz w:val="24"/>
          <w:szCs w:val="24"/>
        </w:rPr>
        <w:t xml:space="preserve">The Court erroneously imposed </w:t>
      </w:r>
      <w:r>
        <w:rPr>
          <w:rFonts w:ascii="Times New Roman" w:hAnsi="Times New Roman" w:cs="Times New Roman"/>
          <w:sz w:val="24"/>
          <w:szCs w:val="24"/>
        </w:rPr>
        <w:t xml:space="preserve">on Reserve </w:t>
      </w:r>
      <w:r w:rsidRPr="00EB33BE">
        <w:rPr>
          <w:rFonts w:ascii="Times New Roman" w:hAnsi="Times New Roman" w:cs="Times New Roman"/>
          <w:sz w:val="24"/>
          <w:szCs w:val="24"/>
        </w:rPr>
        <w:t>an “arm’s-length” standard for insurance policies written to its affiliated insureds and concluded that the absence of a premium being negotiated at “arm’s-length” negated Reserve’s policies from qualifying as insurance for federal income tax purposes.  The Court did not consider the prove</w:t>
      </w:r>
      <w:r>
        <w:rPr>
          <w:rFonts w:ascii="Times New Roman" w:hAnsi="Times New Roman" w:cs="Times New Roman"/>
          <w:sz w:val="24"/>
          <w:szCs w:val="24"/>
        </w:rPr>
        <w:t>-</w:t>
      </w:r>
      <w:r w:rsidRPr="00EB33BE">
        <w:rPr>
          <w:rFonts w:ascii="Times New Roman" w:hAnsi="Times New Roman" w:cs="Times New Roman"/>
          <w:sz w:val="24"/>
          <w:szCs w:val="24"/>
        </w:rPr>
        <w:t xml:space="preserve">up of premium income being based on pricing indications that Reserve received from a </w:t>
      </w:r>
      <w:r>
        <w:rPr>
          <w:rFonts w:ascii="Times New Roman" w:hAnsi="Times New Roman" w:cs="Times New Roman"/>
          <w:sz w:val="24"/>
          <w:szCs w:val="24"/>
        </w:rPr>
        <w:t xml:space="preserve">regional </w:t>
      </w:r>
      <w:r w:rsidRPr="00EB33BE">
        <w:rPr>
          <w:rFonts w:ascii="Times New Roman" w:hAnsi="Times New Roman" w:cs="Times New Roman"/>
          <w:sz w:val="24"/>
          <w:szCs w:val="24"/>
        </w:rPr>
        <w:t>third-party insurance brokerage,</w:t>
      </w:r>
      <w:r w:rsidRPr="00EB33BE">
        <w:rPr>
          <w:rStyle w:val="EndnoteReference"/>
          <w:rFonts w:ascii="Times New Roman" w:hAnsi="Times New Roman" w:cs="Times New Roman"/>
          <w:sz w:val="24"/>
          <w:szCs w:val="24"/>
        </w:rPr>
        <w:endnoteReference w:id="127"/>
      </w:r>
      <w:r w:rsidRPr="00EB33BE">
        <w:rPr>
          <w:rFonts w:ascii="Times New Roman" w:hAnsi="Times New Roman" w:cs="Times New Roman"/>
          <w:sz w:val="24"/>
          <w:szCs w:val="24"/>
        </w:rPr>
        <w:t xml:space="preserve"> consistent with the principles for determining arm’s-length equivalent pricing between affiliated entities under IRC Section 482, </w:t>
      </w:r>
      <w:r>
        <w:rPr>
          <w:rFonts w:ascii="Times New Roman" w:hAnsi="Times New Roman" w:cs="Times New Roman"/>
          <w:sz w:val="24"/>
          <w:szCs w:val="24"/>
        </w:rPr>
        <w:t xml:space="preserve">even when </w:t>
      </w:r>
      <w:r w:rsidRPr="00EB33BE">
        <w:rPr>
          <w:rFonts w:ascii="Times New Roman" w:hAnsi="Times New Roman" w:cs="Times New Roman"/>
          <w:sz w:val="24"/>
          <w:szCs w:val="24"/>
        </w:rPr>
        <w:t xml:space="preserve">such </w:t>
      </w:r>
      <w:r>
        <w:rPr>
          <w:rFonts w:ascii="Times New Roman" w:hAnsi="Times New Roman" w:cs="Times New Roman"/>
          <w:sz w:val="24"/>
          <w:szCs w:val="24"/>
        </w:rPr>
        <w:t xml:space="preserve">was </w:t>
      </w:r>
      <w:r w:rsidRPr="00EB33BE">
        <w:rPr>
          <w:rFonts w:ascii="Times New Roman" w:hAnsi="Times New Roman" w:cs="Times New Roman"/>
          <w:sz w:val="24"/>
          <w:szCs w:val="24"/>
        </w:rPr>
        <w:t xml:space="preserve">further supported by actuarial </w:t>
      </w:r>
      <w:r>
        <w:rPr>
          <w:rFonts w:ascii="Times New Roman" w:hAnsi="Times New Roman" w:cs="Times New Roman"/>
          <w:sz w:val="24"/>
          <w:szCs w:val="24"/>
        </w:rPr>
        <w:t xml:space="preserve">reports.  </w:t>
      </w:r>
      <w:r w:rsidRPr="00EB33BE">
        <w:rPr>
          <w:rFonts w:ascii="Times New Roman" w:hAnsi="Times New Roman" w:cs="Times New Roman"/>
          <w:sz w:val="24"/>
          <w:szCs w:val="24"/>
        </w:rPr>
        <w:t>Rather, the Court ruled that, in the absence of insurance premiums being charged at “arm’s length” (</w:t>
      </w:r>
      <w:r>
        <w:rPr>
          <w:rFonts w:ascii="Times New Roman" w:hAnsi="Times New Roman" w:cs="Times New Roman"/>
          <w:sz w:val="24"/>
          <w:szCs w:val="24"/>
        </w:rPr>
        <w:t xml:space="preserve">negating any </w:t>
      </w:r>
      <w:r w:rsidRPr="00EB33BE">
        <w:rPr>
          <w:rFonts w:ascii="Times New Roman" w:hAnsi="Times New Roman" w:cs="Times New Roman"/>
          <w:sz w:val="24"/>
          <w:szCs w:val="24"/>
        </w:rPr>
        <w:t>related part</w:t>
      </w:r>
      <w:r>
        <w:rPr>
          <w:rFonts w:ascii="Times New Roman" w:hAnsi="Times New Roman" w:cs="Times New Roman"/>
          <w:sz w:val="24"/>
          <w:szCs w:val="24"/>
        </w:rPr>
        <w:t>y transactions)</w:t>
      </w:r>
      <w:r w:rsidRPr="00EB33BE">
        <w:rPr>
          <w:rFonts w:ascii="Times New Roman" w:hAnsi="Times New Roman" w:cs="Times New Roman"/>
          <w:sz w:val="24"/>
          <w:szCs w:val="24"/>
        </w:rPr>
        <w:t xml:space="preserve"> that pricing “defects” were fatal, thus rejecting on a wholesale basis all of Reserve’s captive insurance arrangements.</w:t>
      </w:r>
      <w:r w:rsidRPr="00EB33BE">
        <w:rPr>
          <w:rStyle w:val="EndnoteReference"/>
          <w:rFonts w:ascii="Times New Roman" w:hAnsi="Times New Roman" w:cs="Times New Roman"/>
          <w:sz w:val="24"/>
          <w:szCs w:val="24"/>
        </w:rPr>
        <w:endnoteReference w:id="128"/>
      </w:r>
      <w:r w:rsidRPr="00EB33BE">
        <w:rPr>
          <w:rFonts w:ascii="Times New Roman" w:hAnsi="Times New Roman" w:cs="Times New Roman"/>
          <w:sz w:val="24"/>
          <w:szCs w:val="24"/>
        </w:rPr>
        <w:t xml:space="preserve">  In doing so, the Court rejected multiple alternatives afforded the government under IRC Section 482 for calculating pricing for transactions between related parties, </w:t>
      </w:r>
      <w:r>
        <w:rPr>
          <w:rFonts w:ascii="Times New Roman" w:hAnsi="Times New Roman" w:cs="Times New Roman"/>
          <w:sz w:val="24"/>
          <w:szCs w:val="24"/>
        </w:rPr>
        <w:t>any one of which should resolve the Court’s objections.</w:t>
      </w:r>
    </w:p>
    <w:p w14:paraId="296DF390" w14:textId="77777777" w:rsidR="00250577" w:rsidRDefault="00250577" w:rsidP="00774B5F">
      <w:pPr>
        <w:pStyle w:val="ListParagraph"/>
        <w:spacing w:after="0" w:line="240" w:lineRule="auto"/>
        <w:ind w:left="360"/>
        <w:rPr>
          <w:rFonts w:ascii="Times New Roman" w:hAnsi="Times New Roman" w:cs="Times New Roman"/>
          <w:sz w:val="24"/>
          <w:szCs w:val="24"/>
        </w:rPr>
      </w:pPr>
    </w:p>
    <w:p w14:paraId="49627602" w14:textId="1D379AEF" w:rsidR="00250577" w:rsidRPr="00774B5F" w:rsidRDefault="00250577" w:rsidP="00774B5F">
      <w:pPr>
        <w:pStyle w:val="ListParagraph"/>
        <w:numPr>
          <w:ilvl w:val="0"/>
          <w:numId w:val="7"/>
        </w:numPr>
        <w:spacing w:after="0" w:line="240" w:lineRule="auto"/>
        <w:rPr>
          <w:rFonts w:ascii="Times New Roman" w:hAnsi="Times New Roman" w:cs="Times New Roman"/>
          <w:sz w:val="24"/>
          <w:szCs w:val="24"/>
        </w:rPr>
      </w:pPr>
      <w:r w:rsidRPr="00774B5F">
        <w:rPr>
          <w:rFonts w:ascii="Times New Roman" w:hAnsi="Times New Roman" w:cs="Times New Roman"/>
          <w:sz w:val="24"/>
          <w:szCs w:val="24"/>
        </w:rPr>
        <w:t>In addition, the Court seems to have contradicted its own finding that “Capstone calculated Reserve’s premiums using objective criteria and what appear to be actuarial methods.”</w:t>
      </w:r>
      <w:r w:rsidRPr="00EB33BE">
        <w:rPr>
          <w:rStyle w:val="EndnoteReference"/>
          <w:rFonts w:ascii="Times New Roman" w:hAnsi="Times New Roman" w:cs="Times New Roman"/>
          <w:sz w:val="24"/>
          <w:szCs w:val="24"/>
        </w:rPr>
        <w:endnoteReference w:id="129"/>
      </w:r>
      <w:r w:rsidRPr="00774B5F">
        <w:rPr>
          <w:rFonts w:ascii="Times New Roman" w:hAnsi="Times New Roman" w:cs="Times New Roman"/>
          <w:sz w:val="24"/>
          <w:szCs w:val="24"/>
        </w:rPr>
        <w:t xml:space="preserve">  The Court has now set out its position </w:t>
      </w:r>
      <w:r>
        <w:rPr>
          <w:rFonts w:ascii="Times New Roman" w:hAnsi="Times New Roman" w:cs="Times New Roman"/>
          <w:sz w:val="24"/>
          <w:szCs w:val="24"/>
        </w:rPr>
        <w:t>–</w:t>
      </w:r>
      <w:r w:rsidRPr="00774B5F">
        <w:rPr>
          <w:rFonts w:ascii="Times New Roman" w:hAnsi="Times New Roman" w:cs="Times New Roman"/>
          <w:sz w:val="24"/>
          <w:szCs w:val="24"/>
        </w:rPr>
        <w:t xml:space="preserve"> despite the pricing methodologies presented by the four actuaries and the regional insurance brokerage – that no captive insurers may exist </w:t>
      </w:r>
      <w:r w:rsidRPr="00774B5F">
        <w:rPr>
          <w:rFonts w:ascii="Times New Roman" w:hAnsi="Times New Roman" w:cs="Times New Roman"/>
          <w:sz w:val="24"/>
          <w:szCs w:val="24"/>
        </w:rPr>
        <w:lastRenderedPageBreak/>
        <w:t>because pricing is (by definition) not at “arm’s length,” all with the understanding that the Court made up pricing as a controverted issue given that the government declined to provide any controverting evidence on pricing and the Court’s reluctant conclusion at page 61 of the Opinion that the pricing was acceptable based on the overwhelming pricing evidence at trial.</w:t>
      </w:r>
    </w:p>
    <w:p w14:paraId="2090AE5C" w14:textId="77777777" w:rsidR="00250577" w:rsidRPr="00632EA8" w:rsidRDefault="00250577" w:rsidP="00632EA8">
      <w:pPr>
        <w:spacing w:after="0" w:line="240" w:lineRule="auto"/>
        <w:rPr>
          <w:rFonts w:ascii="Times New Roman" w:hAnsi="Times New Roman" w:cs="Times New Roman"/>
          <w:sz w:val="24"/>
          <w:szCs w:val="24"/>
        </w:rPr>
      </w:pPr>
    </w:p>
    <w:p w14:paraId="773C42CF" w14:textId="77777777" w:rsidR="00250577" w:rsidRPr="0036725A" w:rsidRDefault="00250577" w:rsidP="00473FD3">
      <w:pPr>
        <w:spacing w:after="0" w:line="240" w:lineRule="auto"/>
        <w:rPr>
          <w:rFonts w:ascii="Times New Roman" w:hAnsi="Times New Roman" w:cs="Times New Roman"/>
          <w:b/>
          <w:sz w:val="24"/>
          <w:szCs w:val="24"/>
        </w:rPr>
      </w:pPr>
      <w:r w:rsidRPr="0036725A">
        <w:rPr>
          <w:rFonts w:ascii="Times New Roman" w:hAnsi="Times New Roman" w:cs="Times New Roman"/>
          <w:b/>
          <w:sz w:val="24"/>
          <w:szCs w:val="24"/>
        </w:rPr>
        <w:t xml:space="preserve">New Concepts Introduced by </w:t>
      </w:r>
      <w:r>
        <w:rPr>
          <w:rFonts w:ascii="Times New Roman" w:hAnsi="Times New Roman" w:cs="Times New Roman"/>
          <w:b/>
          <w:sz w:val="24"/>
          <w:szCs w:val="24"/>
        </w:rPr>
        <w:t xml:space="preserve">This </w:t>
      </w:r>
      <w:r w:rsidRPr="0036725A">
        <w:rPr>
          <w:rFonts w:ascii="Times New Roman" w:hAnsi="Times New Roman" w:cs="Times New Roman"/>
          <w:b/>
          <w:sz w:val="24"/>
          <w:szCs w:val="24"/>
        </w:rPr>
        <w:t>Court on Insurance Policy Selection and Related Issues</w:t>
      </w:r>
    </w:p>
    <w:p w14:paraId="5DDBEB18" w14:textId="77777777" w:rsidR="00250577" w:rsidRPr="0036725A" w:rsidRDefault="00250577" w:rsidP="00DD4BBE">
      <w:pPr>
        <w:spacing w:after="0" w:line="240" w:lineRule="auto"/>
        <w:rPr>
          <w:rFonts w:ascii="Times New Roman" w:hAnsi="Times New Roman" w:cs="Times New Roman"/>
          <w:sz w:val="24"/>
          <w:szCs w:val="24"/>
        </w:rPr>
      </w:pPr>
    </w:p>
    <w:p w14:paraId="58D6E723" w14:textId="33116561" w:rsidR="00250577" w:rsidRDefault="00250577" w:rsidP="00DD4BBE">
      <w:pPr>
        <w:spacing w:after="0" w:line="240" w:lineRule="auto"/>
        <w:rPr>
          <w:rFonts w:ascii="Times New Roman" w:hAnsi="Times New Roman" w:cs="Times New Roman"/>
          <w:sz w:val="24"/>
          <w:szCs w:val="24"/>
        </w:rPr>
      </w:pPr>
      <w:bookmarkStart w:id="8" w:name="_Hlk532825777"/>
      <w:r w:rsidRPr="0036725A">
        <w:rPr>
          <w:rFonts w:ascii="Times New Roman" w:hAnsi="Times New Roman" w:cs="Times New Roman"/>
          <w:sz w:val="24"/>
          <w:szCs w:val="24"/>
        </w:rPr>
        <w:t xml:space="preserve">In </w:t>
      </w:r>
      <w:r>
        <w:rPr>
          <w:rFonts w:ascii="Times New Roman" w:hAnsi="Times New Roman" w:cs="Times New Roman"/>
          <w:sz w:val="24"/>
          <w:szCs w:val="24"/>
        </w:rPr>
        <w:t>its O</w:t>
      </w:r>
      <w:r w:rsidRPr="0036725A">
        <w:rPr>
          <w:rFonts w:ascii="Times New Roman" w:hAnsi="Times New Roman" w:cs="Times New Roman"/>
          <w:sz w:val="24"/>
          <w:szCs w:val="24"/>
        </w:rPr>
        <w:t xml:space="preserve">pinion, the </w:t>
      </w:r>
      <w:r>
        <w:rPr>
          <w:rFonts w:ascii="Times New Roman" w:hAnsi="Times New Roman" w:cs="Times New Roman"/>
          <w:sz w:val="24"/>
          <w:szCs w:val="24"/>
        </w:rPr>
        <w:t>C</w:t>
      </w:r>
      <w:r w:rsidRPr="0036725A">
        <w:rPr>
          <w:rFonts w:ascii="Times New Roman" w:hAnsi="Times New Roman" w:cs="Times New Roman"/>
          <w:sz w:val="24"/>
          <w:szCs w:val="24"/>
        </w:rPr>
        <w:t xml:space="preserve">ourt </w:t>
      </w:r>
      <w:r>
        <w:rPr>
          <w:rFonts w:ascii="Times New Roman" w:hAnsi="Times New Roman" w:cs="Times New Roman"/>
          <w:sz w:val="24"/>
          <w:szCs w:val="24"/>
        </w:rPr>
        <w:t xml:space="preserve">created </w:t>
      </w:r>
      <w:r w:rsidRPr="0036725A">
        <w:rPr>
          <w:rFonts w:ascii="Times New Roman" w:hAnsi="Times New Roman" w:cs="Times New Roman"/>
          <w:sz w:val="24"/>
          <w:szCs w:val="24"/>
        </w:rPr>
        <w:t xml:space="preserve">new </w:t>
      </w:r>
      <w:r>
        <w:rPr>
          <w:rFonts w:ascii="Times New Roman" w:hAnsi="Times New Roman" w:cs="Times New Roman"/>
          <w:sz w:val="24"/>
          <w:szCs w:val="24"/>
        </w:rPr>
        <w:t xml:space="preserve">factual and legal </w:t>
      </w:r>
      <w:r w:rsidRPr="0036725A">
        <w:rPr>
          <w:rFonts w:ascii="Times New Roman" w:hAnsi="Times New Roman" w:cs="Times New Roman"/>
          <w:sz w:val="24"/>
          <w:szCs w:val="24"/>
        </w:rPr>
        <w:t xml:space="preserve">concepts </w:t>
      </w:r>
      <w:r>
        <w:rPr>
          <w:rFonts w:ascii="Times New Roman" w:hAnsi="Times New Roman" w:cs="Times New Roman"/>
          <w:sz w:val="24"/>
          <w:szCs w:val="24"/>
        </w:rPr>
        <w:t xml:space="preserve">not seen in the years of insurance </w:t>
      </w:r>
      <w:r w:rsidRPr="0036725A">
        <w:rPr>
          <w:rFonts w:ascii="Times New Roman" w:hAnsi="Times New Roman" w:cs="Times New Roman"/>
          <w:sz w:val="24"/>
          <w:szCs w:val="24"/>
        </w:rPr>
        <w:t>case law</w:t>
      </w:r>
      <w:r>
        <w:rPr>
          <w:rFonts w:ascii="Times New Roman" w:hAnsi="Times New Roman" w:cs="Times New Roman"/>
          <w:sz w:val="24"/>
          <w:szCs w:val="24"/>
        </w:rPr>
        <w:t xml:space="preserve"> while not even citing beyond </w:t>
      </w:r>
      <w:r w:rsidRPr="00C65B81">
        <w:rPr>
          <w:rFonts w:ascii="Times New Roman" w:hAnsi="Times New Roman" w:cs="Times New Roman"/>
          <w:i/>
          <w:sz w:val="24"/>
          <w:szCs w:val="24"/>
        </w:rPr>
        <w:t>Avrahami</w:t>
      </w:r>
      <w:r>
        <w:rPr>
          <w:rFonts w:ascii="Times New Roman" w:hAnsi="Times New Roman" w:cs="Times New Roman"/>
          <w:sz w:val="24"/>
          <w:szCs w:val="24"/>
        </w:rPr>
        <w:t xml:space="preserve"> to precedent for most of its shoehorned findings.  </w:t>
      </w:r>
      <w:bookmarkEnd w:id="8"/>
      <w:r>
        <w:rPr>
          <w:rFonts w:ascii="Times New Roman" w:hAnsi="Times New Roman" w:cs="Times New Roman"/>
          <w:sz w:val="24"/>
          <w:szCs w:val="24"/>
        </w:rPr>
        <w:t xml:space="preserve">Yet, </w:t>
      </w:r>
      <w:r w:rsidRPr="00661420">
        <w:rPr>
          <w:rFonts w:ascii="Times New Roman" w:hAnsi="Times New Roman" w:cs="Times New Roman"/>
          <w:i/>
          <w:sz w:val="24"/>
          <w:szCs w:val="24"/>
        </w:rPr>
        <w:t>Reserve</w:t>
      </w:r>
      <w:r>
        <w:rPr>
          <w:rFonts w:ascii="Times New Roman" w:hAnsi="Times New Roman" w:cs="Times New Roman"/>
          <w:sz w:val="24"/>
          <w:szCs w:val="24"/>
        </w:rPr>
        <w:t xml:space="preserve"> was issued as an unpublished tax memorandum opinion, which is typically reserved for decisions </w:t>
      </w:r>
      <w:r w:rsidRPr="002B02A7">
        <w:rPr>
          <w:rFonts w:ascii="Times New Roman" w:hAnsi="Times New Roman" w:cs="Times New Roman"/>
          <w:sz w:val="24"/>
          <w:szCs w:val="24"/>
        </w:rPr>
        <w:t xml:space="preserve">that </w:t>
      </w:r>
      <w:r w:rsidRPr="007249A8">
        <w:rPr>
          <w:rFonts w:ascii="Times New Roman" w:hAnsi="Times New Roman" w:cs="Times New Roman"/>
          <w:i/>
          <w:sz w:val="24"/>
          <w:szCs w:val="24"/>
        </w:rPr>
        <w:t>do not involve novel legal issues for which the law is settled or for which the result is factually driven</w:t>
      </w:r>
      <w:r w:rsidRPr="002B02A7">
        <w:rPr>
          <w:rFonts w:ascii="Times New Roman" w:hAnsi="Times New Roman" w:cs="Times New Roman"/>
          <w:sz w:val="24"/>
          <w:szCs w:val="24"/>
        </w:rPr>
        <w:t>.</w:t>
      </w:r>
      <w:r>
        <w:rPr>
          <w:rStyle w:val="EndnoteReference"/>
          <w:rFonts w:ascii="Times New Roman" w:hAnsi="Times New Roman" w:cs="Times New Roman"/>
          <w:sz w:val="24"/>
          <w:szCs w:val="24"/>
        </w:rPr>
        <w:endnoteReference w:id="130"/>
      </w:r>
      <w:r>
        <w:rPr>
          <w:rFonts w:ascii="Times New Roman" w:hAnsi="Times New Roman" w:cs="Times New Roman"/>
          <w:sz w:val="24"/>
          <w:szCs w:val="24"/>
        </w:rPr>
        <w:t xml:space="preserve">  </w:t>
      </w:r>
      <w:r w:rsidRPr="008E2B39">
        <w:rPr>
          <w:rFonts w:ascii="Times New Roman" w:hAnsi="Times New Roman" w:cs="Times New Roman"/>
          <w:i/>
          <w:sz w:val="24"/>
          <w:szCs w:val="24"/>
        </w:rPr>
        <w:t xml:space="preserve">Avrahami </w:t>
      </w:r>
      <w:r>
        <w:rPr>
          <w:rFonts w:ascii="Times New Roman" w:hAnsi="Times New Roman" w:cs="Times New Roman"/>
          <w:sz w:val="24"/>
          <w:szCs w:val="24"/>
        </w:rPr>
        <w:t>was not appealed following the issuance of its August 2017 opinion.</w:t>
      </w:r>
    </w:p>
    <w:p w14:paraId="476E0760" w14:textId="77777777" w:rsidR="00250577" w:rsidRDefault="00250577" w:rsidP="00DD4BBE">
      <w:pPr>
        <w:spacing w:after="0" w:line="240" w:lineRule="auto"/>
        <w:rPr>
          <w:rFonts w:ascii="Times New Roman" w:hAnsi="Times New Roman" w:cs="Times New Roman"/>
          <w:sz w:val="24"/>
          <w:szCs w:val="24"/>
        </w:rPr>
      </w:pPr>
    </w:p>
    <w:p w14:paraId="631DC9A9" w14:textId="6B4B760A" w:rsidR="00250577" w:rsidRPr="0036725A" w:rsidRDefault="00250577" w:rsidP="00DD4BBE">
      <w:pPr>
        <w:spacing w:after="0" w:line="240" w:lineRule="auto"/>
        <w:rPr>
          <w:rFonts w:ascii="Times New Roman" w:hAnsi="Times New Roman" w:cs="Times New Roman"/>
          <w:sz w:val="24"/>
          <w:szCs w:val="24"/>
        </w:rPr>
      </w:pPr>
      <w:r w:rsidRPr="007249A8">
        <w:rPr>
          <w:rFonts w:ascii="Times New Roman" w:hAnsi="Times New Roman" w:cs="Times New Roman"/>
          <w:sz w:val="24"/>
          <w:szCs w:val="24"/>
        </w:rPr>
        <w:t xml:space="preserve">These </w:t>
      </w:r>
      <w:r>
        <w:rPr>
          <w:rFonts w:ascii="Times New Roman" w:hAnsi="Times New Roman" w:cs="Times New Roman"/>
          <w:sz w:val="24"/>
          <w:szCs w:val="24"/>
        </w:rPr>
        <w:t xml:space="preserve">newly established </w:t>
      </w:r>
      <w:r w:rsidRPr="007249A8">
        <w:rPr>
          <w:rFonts w:ascii="Times New Roman" w:hAnsi="Times New Roman" w:cs="Times New Roman"/>
          <w:sz w:val="24"/>
          <w:szCs w:val="24"/>
        </w:rPr>
        <w:t xml:space="preserve">concepts were generally not even the subject of </w:t>
      </w:r>
      <w:r>
        <w:rPr>
          <w:rFonts w:ascii="Times New Roman" w:hAnsi="Times New Roman" w:cs="Times New Roman"/>
          <w:sz w:val="24"/>
          <w:szCs w:val="24"/>
        </w:rPr>
        <w:t xml:space="preserve">witness </w:t>
      </w:r>
      <w:r w:rsidRPr="007249A8">
        <w:rPr>
          <w:rFonts w:ascii="Times New Roman" w:hAnsi="Times New Roman" w:cs="Times New Roman"/>
          <w:sz w:val="24"/>
          <w:szCs w:val="24"/>
        </w:rPr>
        <w:t xml:space="preserve">testimony </w:t>
      </w:r>
      <w:r>
        <w:rPr>
          <w:rFonts w:ascii="Times New Roman" w:hAnsi="Times New Roman" w:cs="Times New Roman"/>
          <w:sz w:val="24"/>
          <w:szCs w:val="24"/>
        </w:rPr>
        <w:t>during the</w:t>
      </w:r>
      <w:r w:rsidRPr="007249A8">
        <w:rPr>
          <w:rFonts w:ascii="Times New Roman" w:hAnsi="Times New Roman" w:cs="Times New Roman"/>
          <w:sz w:val="24"/>
          <w:szCs w:val="24"/>
        </w:rPr>
        <w:t xml:space="preserve"> trial.  The Court apparently made its findings </w:t>
      </w:r>
      <w:r w:rsidRPr="007249A8">
        <w:rPr>
          <w:rFonts w:ascii="Times New Roman" w:hAnsi="Times New Roman" w:cs="Times New Roman"/>
          <w:i/>
          <w:sz w:val="24"/>
          <w:szCs w:val="24"/>
        </w:rPr>
        <w:t>sua sponte</w:t>
      </w:r>
      <w:r>
        <w:rPr>
          <w:rFonts w:ascii="Times New Roman" w:hAnsi="Times New Roman" w:cs="Times New Roman"/>
          <w:sz w:val="24"/>
          <w:szCs w:val="24"/>
        </w:rPr>
        <w:t xml:space="preserve">, drawing on its own “experiences” </w:t>
      </w:r>
      <w:r w:rsidRPr="007249A8">
        <w:rPr>
          <w:rFonts w:ascii="Times New Roman" w:hAnsi="Times New Roman" w:cs="Times New Roman"/>
          <w:sz w:val="24"/>
          <w:szCs w:val="24"/>
        </w:rPr>
        <w:t>on each of the concepts</w:t>
      </w:r>
      <w:r>
        <w:rPr>
          <w:rFonts w:ascii="Times New Roman" w:hAnsi="Times New Roman" w:cs="Times New Roman"/>
          <w:sz w:val="24"/>
          <w:szCs w:val="24"/>
        </w:rPr>
        <w:t xml:space="preserve"> discussed below</w:t>
      </w:r>
      <w:r w:rsidRPr="0036725A">
        <w:rPr>
          <w:rFonts w:ascii="Times New Roman" w:hAnsi="Times New Roman" w:cs="Times New Roman"/>
          <w:sz w:val="24"/>
          <w:szCs w:val="24"/>
        </w:rPr>
        <w:t>.</w:t>
      </w:r>
    </w:p>
    <w:p w14:paraId="08CE45CB" w14:textId="77777777" w:rsidR="00250577" w:rsidRPr="0036725A" w:rsidRDefault="00250577" w:rsidP="00DD4BBE">
      <w:pPr>
        <w:spacing w:after="0" w:line="240" w:lineRule="auto"/>
        <w:rPr>
          <w:rFonts w:ascii="Times New Roman" w:hAnsi="Times New Roman" w:cs="Times New Roman"/>
          <w:sz w:val="24"/>
          <w:szCs w:val="24"/>
          <w:u w:val="single"/>
        </w:rPr>
      </w:pPr>
    </w:p>
    <w:p w14:paraId="6C5837B6" w14:textId="4D361C98" w:rsidR="00250577" w:rsidRPr="0036725A" w:rsidRDefault="00250577" w:rsidP="00DD4BBE">
      <w:pPr>
        <w:spacing w:after="0" w:line="240" w:lineRule="auto"/>
        <w:rPr>
          <w:rFonts w:ascii="Times New Roman" w:hAnsi="Times New Roman" w:cs="Times New Roman"/>
          <w:sz w:val="24"/>
          <w:szCs w:val="24"/>
          <w:u w:val="single"/>
        </w:rPr>
      </w:pPr>
      <w:r w:rsidRPr="0036725A">
        <w:rPr>
          <w:rFonts w:ascii="Times New Roman" w:hAnsi="Times New Roman" w:cs="Times New Roman"/>
          <w:sz w:val="24"/>
          <w:szCs w:val="24"/>
          <w:u w:val="single"/>
        </w:rPr>
        <w:t xml:space="preserve">A.  </w:t>
      </w:r>
      <w:r w:rsidRPr="00C65B81">
        <w:rPr>
          <w:rFonts w:ascii="Times New Roman" w:hAnsi="Times New Roman" w:cs="Times New Roman"/>
          <w:b/>
          <w:i/>
          <w:sz w:val="24"/>
          <w:szCs w:val="24"/>
          <w:u w:val="single"/>
        </w:rPr>
        <w:t xml:space="preserve">Insurer </w:t>
      </w:r>
      <w:r w:rsidRPr="0036725A">
        <w:rPr>
          <w:rFonts w:ascii="Times New Roman" w:hAnsi="Times New Roman" w:cs="Times New Roman"/>
          <w:sz w:val="24"/>
          <w:szCs w:val="24"/>
          <w:u w:val="single"/>
        </w:rPr>
        <w:t xml:space="preserve">Must </w:t>
      </w:r>
      <w:r>
        <w:rPr>
          <w:rFonts w:ascii="Times New Roman" w:hAnsi="Times New Roman" w:cs="Times New Roman"/>
          <w:sz w:val="24"/>
          <w:szCs w:val="24"/>
          <w:u w:val="single"/>
        </w:rPr>
        <w:t>Show</w:t>
      </w:r>
      <w:r w:rsidRPr="0036725A">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an </w:t>
      </w:r>
      <w:r w:rsidRPr="00576278">
        <w:rPr>
          <w:rFonts w:ascii="Times New Roman" w:hAnsi="Times New Roman"/>
          <w:b/>
          <w:i/>
          <w:sz w:val="24"/>
          <w:u w:val="single"/>
        </w:rPr>
        <w:t>Insured’s</w:t>
      </w:r>
      <w:r>
        <w:rPr>
          <w:rFonts w:ascii="Times New Roman" w:hAnsi="Times New Roman" w:cs="Times New Roman"/>
          <w:sz w:val="24"/>
          <w:szCs w:val="24"/>
          <w:u w:val="single"/>
        </w:rPr>
        <w:t xml:space="preserve"> </w:t>
      </w:r>
      <w:r w:rsidRPr="0036725A">
        <w:rPr>
          <w:rFonts w:ascii="Times New Roman" w:hAnsi="Times New Roman" w:cs="Times New Roman"/>
          <w:sz w:val="24"/>
          <w:szCs w:val="24"/>
          <w:u w:val="single"/>
        </w:rPr>
        <w:t xml:space="preserve">“Business Purpose” for </w:t>
      </w:r>
      <w:r>
        <w:rPr>
          <w:rFonts w:ascii="Times New Roman" w:hAnsi="Times New Roman" w:cs="Times New Roman"/>
          <w:sz w:val="24"/>
          <w:szCs w:val="24"/>
          <w:u w:val="single"/>
        </w:rPr>
        <w:t xml:space="preserve">a </w:t>
      </w:r>
      <w:r w:rsidRPr="0036725A">
        <w:rPr>
          <w:rFonts w:ascii="Times New Roman" w:hAnsi="Times New Roman" w:cs="Times New Roman"/>
          <w:sz w:val="24"/>
          <w:szCs w:val="24"/>
          <w:u w:val="single"/>
        </w:rPr>
        <w:t>Policy to be Considered</w:t>
      </w:r>
      <w:r>
        <w:rPr>
          <w:rFonts w:ascii="Times New Roman" w:hAnsi="Times New Roman" w:cs="Times New Roman"/>
          <w:sz w:val="24"/>
          <w:szCs w:val="24"/>
          <w:u w:val="single"/>
        </w:rPr>
        <w:t xml:space="preserve"> </w:t>
      </w:r>
      <w:r w:rsidRPr="0036725A">
        <w:rPr>
          <w:rFonts w:ascii="Times New Roman" w:hAnsi="Times New Roman" w:cs="Times New Roman"/>
          <w:sz w:val="24"/>
          <w:szCs w:val="24"/>
          <w:u w:val="single"/>
        </w:rPr>
        <w:t>Insurance</w:t>
      </w:r>
    </w:p>
    <w:p w14:paraId="0F5E3F73" w14:textId="77777777" w:rsidR="00250577" w:rsidRPr="0036725A" w:rsidRDefault="00250577" w:rsidP="00DD4BBE">
      <w:pPr>
        <w:spacing w:after="0" w:line="240" w:lineRule="auto"/>
        <w:rPr>
          <w:rFonts w:ascii="Times New Roman" w:hAnsi="Times New Roman" w:cs="Times New Roman"/>
          <w:sz w:val="24"/>
          <w:szCs w:val="24"/>
        </w:rPr>
      </w:pPr>
    </w:p>
    <w:p w14:paraId="2DB4DBD8" w14:textId="1C487775" w:rsidR="00250577" w:rsidRPr="0036725A" w:rsidRDefault="00250577" w:rsidP="00DD4BBE">
      <w:pPr>
        <w:spacing w:after="0" w:line="240" w:lineRule="auto"/>
        <w:rPr>
          <w:rFonts w:ascii="Times New Roman" w:hAnsi="Times New Roman" w:cs="Times New Roman"/>
          <w:sz w:val="24"/>
          <w:szCs w:val="24"/>
        </w:rPr>
      </w:pPr>
      <w:r w:rsidRPr="0036725A">
        <w:rPr>
          <w:rFonts w:ascii="Times New Roman" w:hAnsi="Times New Roman" w:cs="Times New Roman"/>
          <w:sz w:val="24"/>
          <w:szCs w:val="24"/>
        </w:rPr>
        <w:t>The</w:t>
      </w:r>
      <w:r>
        <w:rPr>
          <w:rFonts w:ascii="Times New Roman" w:hAnsi="Times New Roman" w:cs="Times New Roman"/>
          <w:sz w:val="24"/>
          <w:szCs w:val="24"/>
        </w:rPr>
        <w:t xml:space="preserve"> </w:t>
      </w:r>
      <w:r w:rsidRPr="0036725A">
        <w:rPr>
          <w:rFonts w:ascii="Times New Roman" w:hAnsi="Times New Roman" w:cs="Times New Roman"/>
          <w:sz w:val="24"/>
          <w:szCs w:val="24"/>
        </w:rPr>
        <w:t xml:space="preserve">Tax Court has </w:t>
      </w:r>
      <w:r w:rsidRPr="003C278C">
        <w:rPr>
          <w:rFonts w:ascii="Times New Roman" w:hAnsi="Times New Roman" w:cs="Times New Roman"/>
          <w:sz w:val="24"/>
          <w:szCs w:val="24"/>
        </w:rPr>
        <w:t xml:space="preserve">established </w:t>
      </w:r>
      <w:r>
        <w:rPr>
          <w:rFonts w:ascii="Times New Roman" w:hAnsi="Times New Roman" w:cs="Times New Roman"/>
          <w:sz w:val="24"/>
          <w:szCs w:val="24"/>
        </w:rPr>
        <w:t>a new “</w:t>
      </w:r>
      <w:r w:rsidRPr="003C278C">
        <w:rPr>
          <w:rFonts w:ascii="Times New Roman" w:hAnsi="Times New Roman" w:cs="Times New Roman"/>
          <w:sz w:val="24"/>
          <w:szCs w:val="24"/>
        </w:rPr>
        <w:t>high</w:t>
      </w:r>
      <w:r w:rsidRPr="00E202AD">
        <w:rPr>
          <w:rFonts w:ascii="Times New Roman" w:hAnsi="Times New Roman" w:cs="Times New Roman"/>
          <w:sz w:val="24"/>
          <w:szCs w:val="24"/>
        </w:rPr>
        <w:t xml:space="preserve"> </w:t>
      </w:r>
      <w:r>
        <w:rPr>
          <w:rFonts w:ascii="Times New Roman" w:hAnsi="Times New Roman" w:cs="Times New Roman"/>
          <w:sz w:val="24"/>
          <w:szCs w:val="24"/>
        </w:rPr>
        <w:t xml:space="preserve">bar” standard </w:t>
      </w:r>
      <w:r w:rsidRPr="00E202AD">
        <w:rPr>
          <w:rFonts w:ascii="Times New Roman" w:hAnsi="Times New Roman" w:cs="Times New Roman"/>
          <w:sz w:val="24"/>
          <w:szCs w:val="24"/>
        </w:rPr>
        <w:t xml:space="preserve">that </w:t>
      </w:r>
      <w:r>
        <w:rPr>
          <w:rFonts w:ascii="Times New Roman" w:hAnsi="Times New Roman" w:cs="Times New Roman"/>
          <w:sz w:val="24"/>
          <w:szCs w:val="24"/>
        </w:rPr>
        <w:t xml:space="preserve">it views as needing to be satisfied by an insurer.  According to this Court, </w:t>
      </w:r>
      <w:r w:rsidRPr="00E202AD">
        <w:rPr>
          <w:rFonts w:ascii="Times New Roman" w:hAnsi="Times New Roman" w:cs="Times New Roman"/>
          <w:sz w:val="24"/>
          <w:szCs w:val="24"/>
        </w:rPr>
        <w:t>for</w:t>
      </w:r>
      <w:r w:rsidRPr="0036725A">
        <w:rPr>
          <w:rFonts w:ascii="Times New Roman" w:hAnsi="Times New Roman" w:cs="Times New Roman"/>
          <w:sz w:val="24"/>
          <w:szCs w:val="24"/>
        </w:rPr>
        <w:t xml:space="preserve"> an insurer to </w:t>
      </w:r>
      <w:r>
        <w:rPr>
          <w:rFonts w:ascii="Times New Roman" w:hAnsi="Times New Roman" w:cs="Times New Roman"/>
          <w:sz w:val="24"/>
          <w:szCs w:val="24"/>
        </w:rPr>
        <w:t xml:space="preserve">underwrite </w:t>
      </w:r>
      <w:r w:rsidRPr="0036725A">
        <w:rPr>
          <w:rFonts w:ascii="Times New Roman" w:hAnsi="Times New Roman" w:cs="Times New Roman"/>
          <w:sz w:val="24"/>
          <w:szCs w:val="24"/>
        </w:rPr>
        <w:t>a policy</w:t>
      </w:r>
      <w:r>
        <w:rPr>
          <w:rFonts w:ascii="Times New Roman" w:hAnsi="Times New Roman" w:cs="Times New Roman"/>
          <w:sz w:val="24"/>
          <w:szCs w:val="24"/>
        </w:rPr>
        <w:t xml:space="preserve"> that is recognized as insurance for tax purposes, the </w:t>
      </w:r>
      <w:r w:rsidRPr="001B1325">
        <w:rPr>
          <w:rFonts w:ascii="Times New Roman" w:hAnsi="Times New Roman" w:cs="Times New Roman"/>
          <w:b/>
          <w:i/>
          <w:sz w:val="24"/>
          <w:szCs w:val="24"/>
          <w:u w:val="single"/>
        </w:rPr>
        <w:t>insurer</w:t>
      </w:r>
      <w:r>
        <w:rPr>
          <w:rFonts w:ascii="Times New Roman" w:hAnsi="Times New Roman" w:cs="Times New Roman"/>
          <w:sz w:val="24"/>
          <w:szCs w:val="24"/>
        </w:rPr>
        <w:t xml:space="preserve"> </w:t>
      </w:r>
      <w:r w:rsidRPr="0036725A">
        <w:rPr>
          <w:rFonts w:ascii="Times New Roman" w:hAnsi="Times New Roman" w:cs="Times New Roman"/>
          <w:sz w:val="24"/>
          <w:szCs w:val="24"/>
        </w:rPr>
        <w:t xml:space="preserve">must </w:t>
      </w:r>
      <w:r w:rsidRPr="0036725A">
        <w:rPr>
          <w:rFonts w:ascii="Times New Roman" w:hAnsi="Times New Roman" w:cs="Times New Roman"/>
          <w:b/>
          <w:sz w:val="24"/>
          <w:szCs w:val="24"/>
        </w:rPr>
        <w:t xml:space="preserve">first </w:t>
      </w:r>
      <w:r>
        <w:rPr>
          <w:rFonts w:ascii="Times New Roman" w:hAnsi="Times New Roman" w:cs="Times New Roman"/>
          <w:b/>
          <w:sz w:val="24"/>
          <w:szCs w:val="24"/>
        </w:rPr>
        <w:t xml:space="preserve">properly conclude the existence of a legitimate </w:t>
      </w:r>
      <w:r w:rsidRPr="0036725A">
        <w:rPr>
          <w:rFonts w:ascii="Times New Roman" w:hAnsi="Times New Roman" w:cs="Times New Roman"/>
          <w:b/>
          <w:sz w:val="24"/>
          <w:szCs w:val="24"/>
        </w:rPr>
        <w:t>“business purpose” of the</w:t>
      </w:r>
      <w:r w:rsidRPr="001B1325">
        <w:rPr>
          <w:rFonts w:ascii="Times New Roman" w:hAnsi="Times New Roman" w:cs="Times New Roman"/>
          <w:b/>
          <w:i/>
          <w:sz w:val="24"/>
          <w:szCs w:val="24"/>
        </w:rPr>
        <w:t xml:space="preserve"> </w:t>
      </w:r>
      <w:r w:rsidRPr="001B1325">
        <w:rPr>
          <w:rFonts w:ascii="Times New Roman" w:hAnsi="Times New Roman" w:cs="Times New Roman"/>
          <w:b/>
          <w:i/>
          <w:sz w:val="24"/>
          <w:szCs w:val="24"/>
          <w:u w:val="single"/>
        </w:rPr>
        <w:t>insured</w:t>
      </w:r>
      <w:r w:rsidRPr="0036725A">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36725A">
        <w:rPr>
          <w:rFonts w:ascii="Times New Roman" w:hAnsi="Times New Roman" w:cs="Times New Roman"/>
          <w:sz w:val="24"/>
          <w:szCs w:val="24"/>
        </w:rPr>
        <w:t xml:space="preserve">acquiring </w:t>
      </w:r>
      <w:r>
        <w:rPr>
          <w:rFonts w:ascii="Times New Roman" w:hAnsi="Times New Roman" w:cs="Times New Roman"/>
          <w:sz w:val="24"/>
          <w:szCs w:val="24"/>
        </w:rPr>
        <w:t xml:space="preserve">the </w:t>
      </w:r>
      <w:r w:rsidRPr="0036725A">
        <w:rPr>
          <w:rFonts w:ascii="Times New Roman" w:hAnsi="Times New Roman" w:cs="Times New Roman"/>
          <w:sz w:val="24"/>
          <w:szCs w:val="24"/>
        </w:rPr>
        <w:t>policy.</w:t>
      </w:r>
      <w:r>
        <w:rPr>
          <w:rStyle w:val="EndnoteReference"/>
          <w:rFonts w:ascii="Times New Roman" w:hAnsi="Times New Roman" w:cs="Times New Roman"/>
          <w:sz w:val="24"/>
          <w:szCs w:val="24"/>
        </w:rPr>
        <w:endnoteReference w:id="131"/>
      </w:r>
      <w:r>
        <w:rPr>
          <w:rFonts w:ascii="Times New Roman" w:hAnsi="Times New Roman" w:cs="Times New Roman"/>
          <w:sz w:val="24"/>
          <w:szCs w:val="24"/>
        </w:rPr>
        <w:t xml:space="preserve">  And it appears that what constitutes a legitimate “business purpose” to this Court will always be out of reach.</w:t>
      </w:r>
    </w:p>
    <w:p w14:paraId="0E62C8BC" w14:textId="77777777" w:rsidR="00250577" w:rsidRPr="0036725A" w:rsidRDefault="00250577" w:rsidP="00DD4BBE">
      <w:pPr>
        <w:spacing w:after="0" w:line="240" w:lineRule="auto"/>
        <w:rPr>
          <w:rFonts w:ascii="Times New Roman" w:hAnsi="Times New Roman" w:cs="Times New Roman"/>
          <w:sz w:val="24"/>
          <w:szCs w:val="24"/>
        </w:rPr>
      </w:pPr>
    </w:p>
    <w:p w14:paraId="08C7C41C" w14:textId="3604B3AD" w:rsidR="00250577" w:rsidRDefault="00250577" w:rsidP="00106B9A">
      <w:pPr>
        <w:spacing w:after="0" w:line="240" w:lineRule="auto"/>
        <w:rPr>
          <w:rFonts w:ascii="Times New Roman" w:hAnsi="Times New Roman" w:cs="Times New Roman"/>
          <w:sz w:val="24"/>
          <w:szCs w:val="24"/>
        </w:rPr>
      </w:pPr>
      <w:r>
        <w:rPr>
          <w:rFonts w:ascii="Times New Roman" w:hAnsi="Times New Roman" w:cs="Times New Roman"/>
          <w:sz w:val="24"/>
          <w:szCs w:val="24"/>
        </w:rPr>
        <w:t>As discussed above, to demonstrate to this Court a valid business purpose for acquiring insurance, it is not even enough that an insured is physically located on a Superfund tract whose business involves contaminated equipment to have pollution liability coverage, by way of example, even where the commercial markets have declined coverage.</w:t>
      </w:r>
      <w:r>
        <w:rPr>
          <w:rStyle w:val="EndnoteReference"/>
          <w:rFonts w:ascii="Times New Roman" w:hAnsi="Times New Roman" w:cs="Times New Roman"/>
          <w:sz w:val="24"/>
          <w:szCs w:val="24"/>
        </w:rPr>
        <w:endnoteReference w:id="132"/>
      </w:r>
      <w:r>
        <w:rPr>
          <w:rFonts w:ascii="Times New Roman" w:hAnsi="Times New Roman" w:cs="Times New Roman"/>
          <w:sz w:val="24"/>
          <w:szCs w:val="24"/>
        </w:rPr>
        <w:t xml:space="preserve">  It is not enough that the insured wishes coverage against a loss of a major customer even where such policy paid out a claim a year later in the amount of $339,820, as was done by Reserve.</w:t>
      </w:r>
      <w:r>
        <w:rPr>
          <w:rStyle w:val="EndnoteReference"/>
          <w:rFonts w:ascii="Times New Roman" w:hAnsi="Times New Roman" w:cs="Times New Roman"/>
          <w:sz w:val="24"/>
          <w:szCs w:val="24"/>
        </w:rPr>
        <w:endnoteReference w:id="133"/>
      </w:r>
      <w:r>
        <w:rPr>
          <w:rFonts w:ascii="Times New Roman" w:hAnsi="Times New Roman" w:cs="Times New Roman"/>
          <w:sz w:val="24"/>
          <w:szCs w:val="24"/>
        </w:rPr>
        <w:t xml:space="preserve">  Whatever the bar is, the words has been posted so high and so small that the requirements can’t be read.</w:t>
      </w:r>
    </w:p>
    <w:p w14:paraId="0CABDFD0" w14:textId="77777777" w:rsidR="00250577" w:rsidRDefault="00250577" w:rsidP="00106B9A">
      <w:pPr>
        <w:spacing w:after="0" w:line="240" w:lineRule="auto"/>
        <w:rPr>
          <w:rFonts w:ascii="Times New Roman" w:hAnsi="Times New Roman" w:cs="Times New Roman"/>
          <w:sz w:val="24"/>
          <w:szCs w:val="24"/>
        </w:rPr>
      </w:pPr>
    </w:p>
    <w:p w14:paraId="6E807D50" w14:textId="6525E6FA" w:rsidR="00250577" w:rsidRPr="0036725A" w:rsidRDefault="00250577" w:rsidP="00106B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w:t>
      </w:r>
      <w:r w:rsidRPr="0036725A">
        <w:rPr>
          <w:rFonts w:ascii="Times New Roman" w:hAnsi="Times New Roman" w:cs="Times New Roman"/>
          <w:sz w:val="24"/>
          <w:szCs w:val="24"/>
        </w:rPr>
        <w:t xml:space="preserve">is, as the trial court would have it, </w:t>
      </w:r>
      <w:r>
        <w:rPr>
          <w:rFonts w:ascii="Times New Roman" w:hAnsi="Times New Roman" w:cs="Times New Roman"/>
          <w:sz w:val="24"/>
          <w:szCs w:val="24"/>
        </w:rPr>
        <w:t xml:space="preserve">by way of example, </w:t>
      </w:r>
      <w:r w:rsidRPr="0036725A">
        <w:rPr>
          <w:rFonts w:ascii="Times New Roman" w:hAnsi="Times New Roman" w:cs="Times New Roman"/>
          <w:sz w:val="24"/>
          <w:szCs w:val="24"/>
        </w:rPr>
        <w:t>AIG must make inquiry of an insured as to why the insured wants a commercial general liability</w:t>
      </w:r>
      <w:r>
        <w:rPr>
          <w:rFonts w:ascii="Times New Roman" w:hAnsi="Times New Roman" w:cs="Times New Roman"/>
          <w:sz w:val="24"/>
          <w:szCs w:val="24"/>
        </w:rPr>
        <w:t xml:space="preserve"> policy, a business interruption policy</w:t>
      </w:r>
      <w:r w:rsidRPr="0036725A">
        <w:rPr>
          <w:rFonts w:ascii="Times New Roman" w:hAnsi="Times New Roman" w:cs="Times New Roman"/>
          <w:sz w:val="24"/>
          <w:szCs w:val="24"/>
        </w:rPr>
        <w:t xml:space="preserve"> or a pollution </w:t>
      </w:r>
      <w:r>
        <w:rPr>
          <w:rFonts w:ascii="Times New Roman" w:hAnsi="Times New Roman" w:cs="Times New Roman"/>
          <w:sz w:val="24"/>
          <w:szCs w:val="24"/>
        </w:rPr>
        <w:t xml:space="preserve">liability </w:t>
      </w:r>
      <w:r w:rsidRPr="0036725A">
        <w:rPr>
          <w:rFonts w:ascii="Times New Roman" w:hAnsi="Times New Roman" w:cs="Times New Roman"/>
          <w:sz w:val="24"/>
          <w:szCs w:val="24"/>
        </w:rPr>
        <w:t>policy</w:t>
      </w:r>
      <w:r>
        <w:rPr>
          <w:rFonts w:ascii="Times New Roman" w:hAnsi="Times New Roman" w:cs="Times New Roman"/>
          <w:sz w:val="24"/>
          <w:szCs w:val="24"/>
        </w:rPr>
        <w:t xml:space="preserve"> before issuing such a policy</w:t>
      </w:r>
      <w:r w:rsidRPr="0036725A">
        <w:rPr>
          <w:rFonts w:ascii="Times New Roman" w:hAnsi="Times New Roman" w:cs="Times New Roman"/>
          <w:sz w:val="24"/>
          <w:szCs w:val="24"/>
        </w:rPr>
        <w:t xml:space="preserve">.  </w:t>
      </w:r>
      <w:r>
        <w:rPr>
          <w:rFonts w:ascii="Times New Roman" w:hAnsi="Times New Roman" w:cs="Times New Roman"/>
          <w:sz w:val="24"/>
          <w:szCs w:val="24"/>
        </w:rPr>
        <w:t xml:space="preserve">No business purpose is found to exist </w:t>
      </w:r>
      <w:r w:rsidRPr="0036725A">
        <w:rPr>
          <w:rFonts w:ascii="Times New Roman" w:hAnsi="Times New Roman" w:cs="Times New Roman"/>
          <w:sz w:val="24"/>
          <w:szCs w:val="24"/>
        </w:rPr>
        <w:t>in the absence of</w:t>
      </w:r>
      <w:r>
        <w:rPr>
          <w:rFonts w:ascii="Times New Roman" w:hAnsi="Times New Roman" w:cs="Times New Roman"/>
          <w:sz w:val="24"/>
          <w:szCs w:val="24"/>
        </w:rPr>
        <w:t xml:space="preserve"> an </w:t>
      </w:r>
      <w:r w:rsidRPr="00197C22">
        <w:rPr>
          <w:rFonts w:ascii="Times New Roman" w:hAnsi="Times New Roman" w:cs="Times New Roman"/>
          <w:sz w:val="24"/>
          <w:szCs w:val="24"/>
          <w:u w:val="single"/>
        </w:rPr>
        <w:t>insurer</w:t>
      </w:r>
      <w:r>
        <w:rPr>
          <w:rFonts w:ascii="Times New Roman" w:hAnsi="Times New Roman" w:cs="Times New Roman"/>
          <w:sz w:val="24"/>
          <w:szCs w:val="24"/>
        </w:rPr>
        <w:t xml:space="preserve"> having satisfactory support for the business purpose of its </w:t>
      </w:r>
      <w:r w:rsidRPr="00D51660">
        <w:rPr>
          <w:rFonts w:ascii="Times New Roman" w:hAnsi="Times New Roman" w:cs="Times New Roman"/>
          <w:sz w:val="24"/>
          <w:szCs w:val="24"/>
          <w:u w:val="single"/>
        </w:rPr>
        <w:t>insureds</w:t>
      </w:r>
      <w:r>
        <w:rPr>
          <w:rFonts w:ascii="Times New Roman" w:hAnsi="Times New Roman" w:cs="Times New Roman"/>
          <w:sz w:val="24"/>
          <w:szCs w:val="24"/>
        </w:rPr>
        <w:t xml:space="preserve"> that would satisfy a tax court’s review years later as to the insureds “genuine need”</w:t>
      </w:r>
      <w:r>
        <w:rPr>
          <w:rStyle w:val="EndnoteReference"/>
          <w:rFonts w:ascii="Times New Roman" w:hAnsi="Times New Roman" w:cs="Times New Roman"/>
          <w:sz w:val="24"/>
          <w:szCs w:val="24"/>
        </w:rPr>
        <w:endnoteReference w:id="134"/>
      </w:r>
      <w:r>
        <w:rPr>
          <w:rFonts w:ascii="Times New Roman" w:hAnsi="Times New Roman" w:cs="Times New Roman"/>
          <w:sz w:val="24"/>
          <w:szCs w:val="24"/>
        </w:rPr>
        <w:t xml:space="preserve"> for the policy in question, being a newly articulated tax standard.  If the Court “determines” that there was </w:t>
      </w:r>
      <w:r w:rsidRPr="00A94120">
        <w:rPr>
          <w:rFonts w:ascii="Times New Roman" w:hAnsi="Times New Roman" w:cs="Times New Roman"/>
          <w:b/>
          <w:i/>
          <w:sz w:val="24"/>
          <w:szCs w:val="24"/>
        </w:rPr>
        <w:t>not</w:t>
      </w:r>
      <w:r>
        <w:rPr>
          <w:rFonts w:ascii="Times New Roman" w:hAnsi="Times New Roman" w:cs="Times New Roman"/>
          <w:sz w:val="24"/>
          <w:szCs w:val="24"/>
        </w:rPr>
        <w:t xml:space="preserve"> a “genuine need</w:t>
      </w:r>
      <w:r w:rsidRPr="009C56CE">
        <w:rPr>
          <w:rFonts w:ascii="Times New Roman" w:hAnsi="Times New Roman" w:cs="Times New Roman"/>
          <w:sz w:val="24"/>
          <w:szCs w:val="24"/>
        </w:rPr>
        <w:t>” for the insurance, the insurer is deemed not to be an insurer for federal income tax purposes.  The Court has set the bar so high</w:t>
      </w:r>
      <w:r>
        <w:rPr>
          <w:rFonts w:ascii="Times New Roman" w:hAnsi="Times New Roman" w:cs="Times New Roman"/>
          <w:sz w:val="24"/>
          <w:szCs w:val="24"/>
        </w:rPr>
        <w:t xml:space="preserve"> </w:t>
      </w:r>
      <w:r w:rsidRPr="009C56CE">
        <w:rPr>
          <w:rFonts w:ascii="Times New Roman" w:hAnsi="Times New Roman" w:cs="Times New Roman"/>
          <w:sz w:val="24"/>
          <w:szCs w:val="24"/>
        </w:rPr>
        <w:t>as to</w:t>
      </w:r>
      <w:r>
        <w:rPr>
          <w:rFonts w:ascii="Times New Roman" w:hAnsi="Times New Roman" w:cs="Times New Roman"/>
          <w:sz w:val="24"/>
          <w:szCs w:val="24"/>
        </w:rPr>
        <w:t xml:space="preserve"> conclude that</w:t>
      </w:r>
      <w:r w:rsidRPr="009C56CE">
        <w:rPr>
          <w:rFonts w:ascii="Times New Roman" w:hAnsi="Times New Roman" w:cs="Times New Roman"/>
          <w:sz w:val="24"/>
          <w:szCs w:val="24"/>
        </w:rPr>
        <w:t xml:space="preserve"> a company located in a Superfund site </w:t>
      </w:r>
      <w:r>
        <w:rPr>
          <w:rFonts w:ascii="Times New Roman" w:hAnsi="Times New Roman" w:cs="Times New Roman"/>
          <w:sz w:val="24"/>
          <w:szCs w:val="24"/>
        </w:rPr>
        <w:t xml:space="preserve">cannot obtain </w:t>
      </w:r>
      <w:r w:rsidRPr="009C56CE">
        <w:rPr>
          <w:rFonts w:ascii="Times New Roman" w:hAnsi="Times New Roman" w:cs="Times New Roman"/>
          <w:sz w:val="24"/>
          <w:szCs w:val="24"/>
        </w:rPr>
        <w:t>pollution liability insurance and that a company can’t insure against the occurrence of fortuitous events that might lead to a loss of a significant customer.</w:t>
      </w:r>
    </w:p>
    <w:p w14:paraId="7CB338D2" w14:textId="77777777" w:rsidR="00250577" w:rsidRPr="0036725A" w:rsidRDefault="00250577" w:rsidP="00106B9A">
      <w:pPr>
        <w:spacing w:after="0" w:line="240" w:lineRule="auto"/>
        <w:rPr>
          <w:rFonts w:ascii="Times New Roman" w:hAnsi="Times New Roman" w:cs="Times New Roman"/>
          <w:sz w:val="24"/>
          <w:szCs w:val="24"/>
        </w:rPr>
      </w:pPr>
    </w:p>
    <w:p w14:paraId="0297CC00" w14:textId="1BF02EBC" w:rsidR="00250577" w:rsidRDefault="00250577" w:rsidP="00106B9A">
      <w:pPr>
        <w:spacing w:after="0" w:line="240" w:lineRule="auto"/>
        <w:rPr>
          <w:rFonts w:ascii="Times New Roman" w:hAnsi="Times New Roman" w:cs="Times New Roman"/>
          <w:sz w:val="24"/>
          <w:szCs w:val="24"/>
        </w:rPr>
      </w:pPr>
      <w:r>
        <w:rPr>
          <w:rFonts w:ascii="Times New Roman" w:hAnsi="Times New Roman" w:cs="Times New Roman"/>
          <w:sz w:val="24"/>
          <w:szCs w:val="24"/>
        </w:rPr>
        <w:t>The above “analysis” of the Court may be examined in light of the fact that e</w:t>
      </w:r>
      <w:r w:rsidRPr="0036725A">
        <w:rPr>
          <w:rFonts w:ascii="Times New Roman" w:hAnsi="Times New Roman" w:cs="Times New Roman"/>
          <w:sz w:val="24"/>
          <w:szCs w:val="24"/>
        </w:rPr>
        <w:t xml:space="preserve">ach of the policies issued by Reserve was individually priced </w:t>
      </w:r>
      <w:r>
        <w:rPr>
          <w:rFonts w:ascii="Times New Roman" w:hAnsi="Times New Roman" w:cs="Times New Roman"/>
          <w:sz w:val="24"/>
          <w:szCs w:val="24"/>
        </w:rPr>
        <w:t xml:space="preserve">by a </w:t>
      </w:r>
      <w:r w:rsidRPr="006203EE">
        <w:rPr>
          <w:rFonts w:ascii="Times New Roman" w:hAnsi="Times New Roman" w:cs="Times New Roman"/>
          <w:sz w:val="24"/>
          <w:szCs w:val="24"/>
        </w:rPr>
        <w:t>professional and credentialed insurance underwrite</w:t>
      </w:r>
      <w:r>
        <w:rPr>
          <w:rFonts w:ascii="Times New Roman" w:hAnsi="Times New Roman" w:cs="Times New Roman"/>
          <w:sz w:val="24"/>
          <w:szCs w:val="24"/>
        </w:rPr>
        <w:t>r</w:t>
      </w:r>
      <w:r w:rsidRPr="00FF2196">
        <w:t xml:space="preserve"> </w:t>
      </w:r>
      <w:r w:rsidRPr="00FF2196">
        <w:rPr>
          <w:rFonts w:ascii="Times New Roman" w:hAnsi="Times New Roman" w:cs="Times New Roman"/>
          <w:sz w:val="24"/>
          <w:szCs w:val="24"/>
        </w:rPr>
        <w:t xml:space="preserve">following </w:t>
      </w:r>
      <w:r>
        <w:rPr>
          <w:rFonts w:ascii="Times New Roman" w:hAnsi="Times New Roman" w:cs="Times New Roman"/>
          <w:sz w:val="24"/>
          <w:szCs w:val="24"/>
        </w:rPr>
        <w:t xml:space="preserve">an </w:t>
      </w:r>
      <w:r w:rsidRPr="00FF2196">
        <w:rPr>
          <w:rFonts w:ascii="Times New Roman" w:hAnsi="Times New Roman" w:cs="Times New Roman"/>
          <w:sz w:val="24"/>
          <w:szCs w:val="24"/>
        </w:rPr>
        <w:t>onsite inspection of the premises</w:t>
      </w:r>
      <w:r>
        <w:rPr>
          <w:rFonts w:ascii="Times New Roman" w:hAnsi="Times New Roman" w:cs="Times New Roman"/>
          <w:sz w:val="24"/>
          <w:szCs w:val="24"/>
        </w:rPr>
        <w:t xml:space="preserve"> and operations.</w:t>
      </w:r>
      <w:r>
        <w:rPr>
          <w:rStyle w:val="EndnoteReference"/>
          <w:rFonts w:ascii="Times New Roman" w:hAnsi="Times New Roman" w:cs="Times New Roman"/>
          <w:sz w:val="24"/>
          <w:szCs w:val="24"/>
        </w:rPr>
        <w:endnoteReference w:id="135"/>
      </w:r>
      <w:r>
        <w:rPr>
          <w:rFonts w:ascii="Times New Roman" w:hAnsi="Times New Roman" w:cs="Times New Roman"/>
          <w:sz w:val="24"/>
          <w:szCs w:val="24"/>
        </w:rPr>
        <w:t xml:space="preserve">  The pricing procedures of the underwriter </w:t>
      </w:r>
      <w:r w:rsidRPr="00FE151A">
        <w:rPr>
          <w:rFonts w:ascii="Times New Roman" w:hAnsi="Times New Roman" w:cs="Times New Roman"/>
          <w:sz w:val="24"/>
          <w:szCs w:val="24"/>
        </w:rPr>
        <w:t>took into account individual factors</w:t>
      </w:r>
      <w:r>
        <w:rPr>
          <w:rFonts w:ascii="Times New Roman" w:hAnsi="Times New Roman" w:cs="Times New Roman"/>
          <w:sz w:val="24"/>
          <w:szCs w:val="24"/>
        </w:rPr>
        <w:t xml:space="preserve"> of the insureds</w:t>
      </w:r>
      <w:r w:rsidRPr="00FE151A">
        <w:rPr>
          <w:rFonts w:ascii="Times New Roman" w:hAnsi="Times New Roman" w:cs="Times New Roman"/>
          <w:sz w:val="24"/>
          <w:szCs w:val="24"/>
        </w:rPr>
        <w:t xml:space="preserve">, </w:t>
      </w:r>
      <w:r>
        <w:rPr>
          <w:rFonts w:ascii="Times New Roman" w:hAnsi="Times New Roman" w:cs="Times New Roman"/>
          <w:sz w:val="24"/>
          <w:szCs w:val="24"/>
        </w:rPr>
        <w:t xml:space="preserve">individual insureds’ </w:t>
      </w:r>
      <w:r w:rsidRPr="00FE151A">
        <w:rPr>
          <w:rFonts w:ascii="Times New Roman" w:hAnsi="Times New Roman" w:cs="Times New Roman"/>
          <w:sz w:val="24"/>
          <w:szCs w:val="24"/>
        </w:rPr>
        <w:t>premium indications (received from Mid-Continent General Agency, Inc.</w:t>
      </w:r>
      <w:r>
        <w:rPr>
          <w:rFonts w:ascii="Times New Roman" w:hAnsi="Times New Roman" w:cs="Times New Roman"/>
          <w:sz w:val="24"/>
          <w:szCs w:val="24"/>
        </w:rPr>
        <w:t>, an agency able to bind Lloyd’s of London)</w:t>
      </w:r>
      <w:r w:rsidRPr="00FE151A">
        <w:rPr>
          <w:rFonts w:ascii="Times New Roman" w:hAnsi="Times New Roman" w:cs="Times New Roman"/>
          <w:sz w:val="24"/>
          <w:szCs w:val="24"/>
        </w:rPr>
        <w:t>,</w:t>
      </w:r>
      <w:r>
        <w:rPr>
          <w:rStyle w:val="EndnoteReference"/>
          <w:rFonts w:ascii="Times New Roman" w:hAnsi="Times New Roman" w:cs="Times New Roman"/>
          <w:sz w:val="24"/>
          <w:szCs w:val="24"/>
        </w:rPr>
        <w:endnoteReference w:id="136"/>
      </w:r>
      <w:r w:rsidRPr="00FE151A">
        <w:rPr>
          <w:rFonts w:ascii="Times New Roman" w:hAnsi="Times New Roman" w:cs="Times New Roman"/>
          <w:sz w:val="24"/>
          <w:szCs w:val="24"/>
        </w:rPr>
        <w:t xml:space="preserve"> the applicable policy limit, the exposure basis (</w:t>
      </w:r>
      <w:r>
        <w:rPr>
          <w:rFonts w:ascii="Times New Roman" w:hAnsi="Times New Roman" w:cs="Times New Roman"/>
          <w:sz w:val="24"/>
          <w:szCs w:val="24"/>
        </w:rPr>
        <w:t xml:space="preserve">e.g., </w:t>
      </w:r>
      <w:r w:rsidRPr="00FE151A">
        <w:rPr>
          <w:rFonts w:ascii="Times New Roman" w:hAnsi="Times New Roman" w:cs="Times New Roman"/>
          <w:sz w:val="24"/>
          <w:szCs w:val="24"/>
        </w:rPr>
        <w:t xml:space="preserve">the insured’s revenue or </w:t>
      </w:r>
      <w:r>
        <w:rPr>
          <w:rFonts w:ascii="Times New Roman" w:hAnsi="Times New Roman" w:cs="Times New Roman"/>
          <w:sz w:val="24"/>
          <w:szCs w:val="24"/>
        </w:rPr>
        <w:t>headcount</w:t>
      </w:r>
      <w:r w:rsidRPr="00FE151A">
        <w:rPr>
          <w:rFonts w:ascii="Times New Roman" w:hAnsi="Times New Roman" w:cs="Times New Roman"/>
          <w:sz w:val="24"/>
          <w:szCs w:val="24"/>
        </w:rPr>
        <w:t xml:space="preserve">), an increase limit factor, and </w:t>
      </w:r>
      <w:r>
        <w:rPr>
          <w:rFonts w:ascii="Times New Roman" w:hAnsi="Times New Roman" w:cs="Times New Roman"/>
          <w:sz w:val="24"/>
          <w:szCs w:val="24"/>
        </w:rPr>
        <w:t xml:space="preserve">the </w:t>
      </w:r>
      <w:r w:rsidRPr="00FE151A">
        <w:rPr>
          <w:rFonts w:ascii="Times New Roman" w:hAnsi="Times New Roman" w:cs="Times New Roman"/>
          <w:sz w:val="24"/>
          <w:szCs w:val="24"/>
        </w:rPr>
        <w:t>polic</w:t>
      </w:r>
      <w:r>
        <w:rPr>
          <w:rFonts w:ascii="Times New Roman" w:hAnsi="Times New Roman" w:cs="Times New Roman"/>
          <w:sz w:val="24"/>
          <w:szCs w:val="24"/>
        </w:rPr>
        <w:t>ies’ terms and conditions.</w:t>
      </w:r>
      <w:r w:rsidRPr="0036725A">
        <w:rPr>
          <w:rStyle w:val="EndnoteReference"/>
          <w:rFonts w:ascii="Times New Roman" w:hAnsi="Times New Roman" w:cs="Times New Roman"/>
          <w:sz w:val="24"/>
          <w:szCs w:val="24"/>
        </w:rPr>
        <w:endnoteReference w:id="137"/>
      </w:r>
      <w:r>
        <w:rPr>
          <w:rFonts w:ascii="Times New Roman" w:hAnsi="Times New Roman" w:cs="Times New Roman"/>
          <w:sz w:val="24"/>
          <w:szCs w:val="24"/>
        </w:rPr>
        <w:t xml:space="preserve">  The underwriter’s pricing was supported by the overwhelming evidence from three separate actuarial organizations.</w:t>
      </w:r>
      <w:r>
        <w:rPr>
          <w:rStyle w:val="EndnoteReference"/>
          <w:rFonts w:ascii="Times New Roman" w:hAnsi="Times New Roman" w:cs="Times New Roman"/>
          <w:sz w:val="24"/>
          <w:szCs w:val="24"/>
        </w:rPr>
        <w:endnoteReference w:id="138"/>
      </w:r>
      <w:r>
        <w:rPr>
          <w:rFonts w:ascii="Times New Roman" w:hAnsi="Times New Roman" w:cs="Times New Roman"/>
          <w:sz w:val="24"/>
          <w:szCs w:val="24"/>
        </w:rPr>
        <w:t xml:space="preserve">  Before the planning was undertaken, the underwriter had the benefit of Willis’ independent review, joined in by Capstone, in a written feasibility study</w:t>
      </w:r>
      <w:r w:rsidRPr="0036725A">
        <w:rPr>
          <w:rFonts w:ascii="Times New Roman" w:hAnsi="Times New Roman" w:cs="Times New Roman"/>
          <w:sz w:val="24"/>
          <w:szCs w:val="24"/>
        </w:rPr>
        <w:t xml:space="preserve">, </w:t>
      </w:r>
      <w:r>
        <w:rPr>
          <w:rFonts w:ascii="Times New Roman" w:hAnsi="Times New Roman" w:cs="Times New Roman"/>
          <w:sz w:val="24"/>
          <w:szCs w:val="24"/>
        </w:rPr>
        <w:t xml:space="preserve">unchallenged by the respondent, </w:t>
      </w:r>
      <w:r w:rsidRPr="0036725A">
        <w:rPr>
          <w:rFonts w:ascii="Times New Roman" w:hAnsi="Times New Roman" w:cs="Times New Roman"/>
          <w:sz w:val="24"/>
          <w:szCs w:val="24"/>
        </w:rPr>
        <w:t xml:space="preserve">with the </w:t>
      </w:r>
      <w:r>
        <w:rPr>
          <w:rFonts w:ascii="Times New Roman" w:hAnsi="Times New Roman" w:cs="Times New Roman"/>
          <w:sz w:val="24"/>
          <w:szCs w:val="24"/>
        </w:rPr>
        <w:t>C</w:t>
      </w:r>
      <w:r w:rsidRPr="0036725A">
        <w:rPr>
          <w:rFonts w:ascii="Times New Roman" w:hAnsi="Times New Roman" w:cs="Times New Roman"/>
          <w:sz w:val="24"/>
          <w:szCs w:val="24"/>
        </w:rPr>
        <w:t>ourt concluding that the premiums charged by Reserve were determined “using objective criteria and what appears to be actuarial methods.”</w:t>
      </w:r>
      <w:r w:rsidRPr="0036725A">
        <w:rPr>
          <w:rStyle w:val="EndnoteReference"/>
          <w:rFonts w:ascii="Times New Roman" w:hAnsi="Times New Roman" w:cs="Times New Roman"/>
          <w:sz w:val="24"/>
          <w:szCs w:val="24"/>
        </w:rPr>
        <w:endnoteReference w:id="139"/>
      </w:r>
      <w:r>
        <w:rPr>
          <w:rFonts w:ascii="Times New Roman" w:hAnsi="Times New Roman" w:cs="Times New Roman"/>
          <w:sz w:val="24"/>
          <w:szCs w:val="24"/>
        </w:rPr>
        <w:t xml:space="preserve">  This followed the lack of contravening evidence from the government’s sole expert who affirmatively declined to provide any evidence on policy pricing or actuarial issues generally.</w:t>
      </w:r>
      <w:r>
        <w:rPr>
          <w:rStyle w:val="EndnoteReference"/>
          <w:rFonts w:ascii="Times New Roman" w:hAnsi="Times New Roman" w:cs="Times New Roman"/>
          <w:sz w:val="24"/>
          <w:szCs w:val="24"/>
        </w:rPr>
        <w:endnoteReference w:id="140"/>
      </w:r>
      <w:r>
        <w:rPr>
          <w:rFonts w:ascii="Times New Roman" w:hAnsi="Times New Roman" w:cs="Times New Roman"/>
          <w:sz w:val="24"/>
          <w:szCs w:val="24"/>
        </w:rPr>
        <w:t xml:space="preserve">  </w:t>
      </w:r>
      <w:r w:rsidRPr="0036725A">
        <w:rPr>
          <w:rFonts w:ascii="Times New Roman" w:hAnsi="Times New Roman" w:cs="Times New Roman"/>
          <w:sz w:val="24"/>
          <w:szCs w:val="24"/>
        </w:rPr>
        <w:t xml:space="preserve">Nonetheless, the </w:t>
      </w:r>
      <w:r>
        <w:rPr>
          <w:rFonts w:ascii="Times New Roman" w:hAnsi="Times New Roman" w:cs="Times New Roman"/>
          <w:sz w:val="24"/>
          <w:szCs w:val="24"/>
        </w:rPr>
        <w:t>Court c</w:t>
      </w:r>
      <w:r w:rsidRPr="0036725A">
        <w:rPr>
          <w:rFonts w:ascii="Times New Roman" w:hAnsi="Times New Roman" w:cs="Times New Roman"/>
          <w:sz w:val="24"/>
          <w:szCs w:val="24"/>
        </w:rPr>
        <w:t>oncluded that “the absence of a real business purpose for Reserve’s policies leads us to conclude that the premiums paid for the policies were not reasonable and not negotiated at arm’s length.”</w:t>
      </w:r>
      <w:r w:rsidRPr="0036725A">
        <w:rPr>
          <w:rStyle w:val="EndnoteReference"/>
          <w:rFonts w:ascii="Times New Roman" w:hAnsi="Times New Roman" w:cs="Times New Roman"/>
          <w:sz w:val="24"/>
          <w:szCs w:val="24"/>
        </w:rPr>
        <w:endnoteReference w:id="141"/>
      </w:r>
      <w:r>
        <w:rPr>
          <w:rFonts w:ascii="Times New Roman" w:hAnsi="Times New Roman" w:cs="Times New Roman"/>
          <w:sz w:val="24"/>
          <w:szCs w:val="24"/>
        </w:rPr>
        <w:t xml:space="preserve">  In its attempt to justify its finding that Reserve’s policies lacked a legitimate business purpose, the Court erroneously found </w:t>
      </w:r>
      <w:r w:rsidRPr="00B0634B">
        <w:rPr>
          <w:rFonts w:ascii="Times New Roman" w:hAnsi="Times New Roman" w:cs="Times New Roman"/>
          <w:sz w:val="24"/>
          <w:szCs w:val="24"/>
        </w:rPr>
        <w:t>that Peak did not have a “genuine need” for acquiring the direct written policies from Reserve</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42"/>
      </w:r>
      <w:r>
        <w:rPr>
          <w:rFonts w:ascii="Times New Roman" w:hAnsi="Times New Roman" w:cs="Times New Roman"/>
          <w:sz w:val="24"/>
          <w:szCs w:val="24"/>
        </w:rPr>
        <w:t xml:space="preserve"> </w:t>
      </w:r>
      <w:r w:rsidRPr="00B0634B">
        <w:rPr>
          <w:rFonts w:ascii="Times New Roman" w:hAnsi="Times New Roman" w:cs="Times New Roman"/>
          <w:sz w:val="24"/>
          <w:szCs w:val="24"/>
        </w:rPr>
        <w:t xml:space="preserve"> </w:t>
      </w:r>
      <w:r>
        <w:rPr>
          <w:rFonts w:ascii="Times New Roman" w:hAnsi="Times New Roman" w:cs="Times New Roman"/>
          <w:sz w:val="24"/>
          <w:szCs w:val="24"/>
        </w:rPr>
        <w:t xml:space="preserve">The extensive evidence presented cannot </w:t>
      </w:r>
      <w:r w:rsidRPr="00BA5988">
        <w:rPr>
          <w:rFonts w:ascii="Times New Roman" w:hAnsi="Times New Roman" w:cs="Times New Roman"/>
          <w:sz w:val="24"/>
          <w:szCs w:val="24"/>
        </w:rPr>
        <w:t xml:space="preserve">be reconciled with the Court’s conclusion </w:t>
      </w:r>
      <w:r>
        <w:rPr>
          <w:rFonts w:ascii="Times New Roman" w:hAnsi="Times New Roman" w:cs="Times New Roman"/>
          <w:sz w:val="24"/>
          <w:szCs w:val="24"/>
        </w:rPr>
        <w:t xml:space="preserve">as to business purpose, or with the Court’s holding </w:t>
      </w:r>
      <w:r w:rsidRPr="00BA5988">
        <w:rPr>
          <w:rFonts w:ascii="Times New Roman" w:hAnsi="Times New Roman" w:cs="Times New Roman"/>
          <w:sz w:val="24"/>
          <w:szCs w:val="24"/>
        </w:rPr>
        <w:t>that the policies’ pricing was determined “using objective criteria and what appears to be actuarial methods</w:t>
      </w:r>
      <w:r>
        <w:rPr>
          <w:rFonts w:ascii="Times New Roman" w:hAnsi="Times New Roman" w:cs="Times New Roman"/>
          <w:sz w:val="24"/>
          <w:szCs w:val="24"/>
        </w:rPr>
        <w:t>.</w:t>
      </w:r>
      <w:r w:rsidRPr="00BA5988">
        <w:rPr>
          <w:rFonts w:ascii="Times New Roman" w:hAnsi="Times New Roman" w:cs="Times New Roman"/>
          <w:sz w:val="24"/>
          <w:szCs w:val="24"/>
        </w:rPr>
        <w:t>”</w:t>
      </w:r>
      <w:r>
        <w:rPr>
          <w:rFonts w:ascii="Times New Roman" w:hAnsi="Times New Roman" w:cs="Times New Roman"/>
          <w:sz w:val="24"/>
          <w:szCs w:val="24"/>
        </w:rPr>
        <w:t xml:space="preserve">  Nor can the Court’s holding </w:t>
      </w:r>
      <w:r w:rsidRPr="00BA5988">
        <w:rPr>
          <w:rFonts w:ascii="Times New Roman" w:hAnsi="Times New Roman" w:cs="Times New Roman"/>
          <w:sz w:val="24"/>
          <w:szCs w:val="24"/>
        </w:rPr>
        <w:t xml:space="preserve">be reconciled with the $339,820 claim </w:t>
      </w:r>
      <w:r>
        <w:rPr>
          <w:rFonts w:ascii="Times New Roman" w:hAnsi="Times New Roman" w:cs="Times New Roman"/>
          <w:sz w:val="24"/>
          <w:szCs w:val="24"/>
        </w:rPr>
        <w:t xml:space="preserve">that was </w:t>
      </w:r>
      <w:r w:rsidRPr="00BA5988">
        <w:rPr>
          <w:rFonts w:ascii="Times New Roman" w:hAnsi="Times New Roman" w:cs="Times New Roman"/>
          <w:sz w:val="24"/>
          <w:szCs w:val="24"/>
        </w:rPr>
        <w:t>paid by Reserve to its insured for a loss under one of Reserve’s policies</w:t>
      </w:r>
      <w:r>
        <w:rPr>
          <w:rFonts w:ascii="Times New Roman" w:hAnsi="Times New Roman" w:cs="Times New Roman"/>
          <w:sz w:val="24"/>
          <w:szCs w:val="24"/>
        </w:rPr>
        <w:t xml:space="preserve">.   Nor can the Court’s holding </w:t>
      </w:r>
      <w:r w:rsidRPr="00BA5988">
        <w:rPr>
          <w:rFonts w:ascii="Times New Roman" w:hAnsi="Times New Roman" w:cs="Times New Roman"/>
          <w:sz w:val="24"/>
          <w:szCs w:val="24"/>
        </w:rPr>
        <w:t>be</w:t>
      </w:r>
      <w:r>
        <w:rPr>
          <w:rFonts w:ascii="Times New Roman" w:hAnsi="Times New Roman" w:cs="Times New Roman"/>
          <w:sz w:val="24"/>
          <w:szCs w:val="24"/>
        </w:rPr>
        <w:t xml:space="preserve"> reconciled with Reserve’s </w:t>
      </w:r>
      <w:r w:rsidRPr="00476DAD">
        <w:rPr>
          <w:rFonts w:ascii="Times New Roman" w:hAnsi="Times New Roman" w:cs="Times New Roman"/>
          <w:sz w:val="24"/>
          <w:szCs w:val="24"/>
        </w:rPr>
        <w:t xml:space="preserve">having paid </w:t>
      </w:r>
      <w:bookmarkStart w:id="9" w:name="_Hlk526438572"/>
      <w:r w:rsidRPr="00476DAD">
        <w:rPr>
          <w:rFonts w:ascii="Times New Roman" w:hAnsi="Times New Roman" w:cs="Times New Roman"/>
          <w:sz w:val="24"/>
          <w:szCs w:val="24"/>
        </w:rPr>
        <w:t xml:space="preserve">$56,399.81 </w:t>
      </w:r>
      <w:bookmarkEnd w:id="9"/>
      <w:r w:rsidRPr="00476DAD">
        <w:rPr>
          <w:rFonts w:ascii="Times New Roman" w:hAnsi="Times New Roman" w:cs="Times New Roman"/>
          <w:sz w:val="24"/>
          <w:szCs w:val="24"/>
        </w:rPr>
        <w:t xml:space="preserve">in losses </w:t>
      </w:r>
      <w:r>
        <w:rPr>
          <w:rFonts w:ascii="Times New Roman" w:hAnsi="Times New Roman" w:cs="Times New Roman"/>
          <w:sz w:val="24"/>
          <w:szCs w:val="24"/>
        </w:rPr>
        <w:t>to third parties in 2010 alone.</w:t>
      </w:r>
      <w:r>
        <w:rPr>
          <w:rStyle w:val="EndnoteReference"/>
          <w:rFonts w:ascii="Times New Roman" w:hAnsi="Times New Roman" w:cs="Times New Roman"/>
          <w:sz w:val="24"/>
          <w:szCs w:val="24"/>
        </w:rPr>
        <w:endnoteReference w:id="143"/>
      </w:r>
    </w:p>
    <w:p w14:paraId="1479CB48" w14:textId="77777777" w:rsidR="00250577" w:rsidRDefault="00250577" w:rsidP="00106B9A">
      <w:pPr>
        <w:spacing w:after="0" w:line="240" w:lineRule="auto"/>
        <w:rPr>
          <w:rFonts w:ascii="Times New Roman" w:hAnsi="Times New Roman" w:cs="Times New Roman"/>
          <w:sz w:val="24"/>
          <w:szCs w:val="24"/>
        </w:rPr>
      </w:pPr>
    </w:p>
    <w:p w14:paraId="1F78543D" w14:textId="4FAFEA1B" w:rsidR="00250577" w:rsidRPr="0036725A" w:rsidRDefault="00250577" w:rsidP="00407B28">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The Court’s Opinion focused </w:t>
      </w:r>
      <w:r w:rsidRPr="004E108D">
        <w:rPr>
          <w:rFonts w:ascii="Times New Roman" w:hAnsi="Times New Roman" w:cs="Times New Roman"/>
          <w:sz w:val="24"/>
          <w:szCs w:val="24"/>
        </w:rPr>
        <w:t xml:space="preserve">on </w:t>
      </w:r>
      <w:r>
        <w:rPr>
          <w:rFonts w:ascii="Times New Roman" w:hAnsi="Times New Roman" w:cs="Times New Roman"/>
          <w:sz w:val="24"/>
          <w:szCs w:val="24"/>
        </w:rPr>
        <w:t xml:space="preserve">the August 2009 delivery date of the </w:t>
      </w:r>
      <w:r w:rsidRPr="002547F9">
        <w:rPr>
          <w:rFonts w:ascii="Times New Roman" w:hAnsi="Times New Roman" w:cs="Times New Roman"/>
          <w:b/>
          <w:i/>
          <w:sz w:val="24"/>
          <w:szCs w:val="24"/>
        </w:rPr>
        <w:t>final, executed and fully reviewed</w:t>
      </w:r>
      <w:r w:rsidRPr="004E108D">
        <w:rPr>
          <w:rFonts w:ascii="Times New Roman" w:hAnsi="Times New Roman" w:cs="Times New Roman"/>
          <w:sz w:val="24"/>
          <w:szCs w:val="24"/>
        </w:rPr>
        <w:t xml:space="preserve"> feasibility study</w:t>
      </w:r>
      <w:r>
        <w:rPr>
          <w:rFonts w:ascii="Times New Roman" w:hAnsi="Times New Roman" w:cs="Times New Roman"/>
          <w:sz w:val="24"/>
          <w:szCs w:val="24"/>
        </w:rPr>
        <w:t xml:space="preserve">, being </w:t>
      </w:r>
      <w:r w:rsidRPr="004E108D">
        <w:rPr>
          <w:rFonts w:ascii="Times New Roman" w:hAnsi="Times New Roman" w:cs="Times New Roman"/>
          <w:sz w:val="24"/>
          <w:szCs w:val="24"/>
        </w:rPr>
        <w:t>about 9 months after the beginning of Reserve’s operations.</w:t>
      </w:r>
      <w:r w:rsidRPr="004E108D">
        <w:rPr>
          <w:rStyle w:val="EndnoteReference"/>
          <w:rFonts w:ascii="Times New Roman" w:hAnsi="Times New Roman" w:cs="Times New Roman"/>
          <w:sz w:val="24"/>
          <w:szCs w:val="24"/>
        </w:rPr>
        <w:endnoteReference w:id="144"/>
      </w:r>
      <w:r w:rsidRPr="004E108D">
        <w:rPr>
          <w:rFonts w:ascii="Times New Roman" w:hAnsi="Times New Roman" w:cs="Times New Roman"/>
          <w:sz w:val="24"/>
          <w:szCs w:val="24"/>
        </w:rPr>
        <w:t xml:space="preserve">  </w:t>
      </w:r>
      <w:r>
        <w:rPr>
          <w:rFonts w:ascii="Times New Roman" w:hAnsi="Times New Roman" w:cs="Times New Roman"/>
          <w:sz w:val="24"/>
          <w:szCs w:val="24"/>
        </w:rPr>
        <w:t xml:space="preserve">The Court focused on this fact despite its </w:t>
      </w:r>
      <w:r w:rsidRPr="002D4D51">
        <w:rPr>
          <w:rFonts w:ascii="Times New Roman" w:hAnsi="Times New Roman" w:cs="Times New Roman"/>
          <w:sz w:val="24"/>
          <w:szCs w:val="24"/>
        </w:rPr>
        <w:t>acknowledg</w:t>
      </w:r>
      <w:r>
        <w:rPr>
          <w:rFonts w:ascii="Times New Roman" w:hAnsi="Times New Roman" w:cs="Times New Roman"/>
          <w:sz w:val="24"/>
          <w:szCs w:val="24"/>
        </w:rPr>
        <w:t xml:space="preserve">ing </w:t>
      </w:r>
      <w:r w:rsidRPr="002D4D51">
        <w:rPr>
          <w:rFonts w:ascii="Times New Roman" w:hAnsi="Times New Roman" w:cs="Times New Roman"/>
          <w:sz w:val="24"/>
          <w:szCs w:val="24"/>
        </w:rPr>
        <w:t>that the onsite visit of Peak’s facilities by the CPCU underwriter, whereby information was gathered and Peak’s operations were examined</w:t>
      </w:r>
      <w:r>
        <w:rPr>
          <w:rFonts w:ascii="Times New Roman" w:hAnsi="Times New Roman" w:cs="Times New Roman"/>
          <w:sz w:val="24"/>
          <w:szCs w:val="24"/>
        </w:rPr>
        <w:t xml:space="preserve">, analyzed </w:t>
      </w:r>
      <w:r w:rsidRPr="002D4D51">
        <w:rPr>
          <w:rFonts w:ascii="Times New Roman" w:hAnsi="Times New Roman" w:cs="Times New Roman"/>
          <w:sz w:val="24"/>
          <w:szCs w:val="24"/>
        </w:rPr>
        <w:t>in detail</w:t>
      </w:r>
      <w:r>
        <w:rPr>
          <w:rFonts w:ascii="Times New Roman" w:hAnsi="Times New Roman" w:cs="Times New Roman"/>
          <w:sz w:val="24"/>
          <w:szCs w:val="24"/>
        </w:rPr>
        <w:t xml:space="preserve"> and reported on to the Peak insureds</w:t>
      </w:r>
      <w:r w:rsidRPr="002D4D51">
        <w:rPr>
          <w:rFonts w:ascii="Times New Roman" w:hAnsi="Times New Roman" w:cs="Times New Roman"/>
          <w:sz w:val="24"/>
          <w:szCs w:val="24"/>
        </w:rPr>
        <w:t>, in August 2008</w:t>
      </w:r>
      <w:r w:rsidRPr="00BF335B">
        <w:rPr>
          <w:rFonts w:ascii="Times New Roman" w:hAnsi="Times New Roman" w:cs="Times New Roman"/>
          <w:b/>
          <w:i/>
          <w:sz w:val="24"/>
          <w:szCs w:val="24"/>
        </w:rPr>
        <w:t>, prior to</w:t>
      </w:r>
      <w:r>
        <w:rPr>
          <w:rFonts w:ascii="Times New Roman" w:hAnsi="Times New Roman" w:cs="Times New Roman"/>
          <w:sz w:val="24"/>
          <w:szCs w:val="24"/>
        </w:rPr>
        <w:t xml:space="preserve"> even the </w:t>
      </w:r>
      <w:r w:rsidRPr="002D4D51">
        <w:rPr>
          <w:rFonts w:ascii="Times New Roman" w:hAnsi="Times New Roman" w:cs="Times New Roman"/>
          <w:sz w:val="24"/>
          <w:szCs w:val="24"/>
        </w:rPr>
        <w:t>application</w:t>
      </w:r>
      <w:r w:rsidRPr="004E108D">
        <w:rPr>
          <w:rFonts w:ascii="Times New Roman" w:hAnsi="Times New Roman" w:cs="Times New Roman"/>
          <w:sz w:val="24"/>
          <w:szCs w:val="24"/>
        </w:rPr>
        <w:t xml:space="preserve"> to form the insurer</w:t>
      </w:r>
      <w:r>
        <w:rPr>
          <w:rFonts w:ascii="Times New Roman" w:hAnsi="Times New Roman" w:cs="Times New Roman"/>
          <w:sz w:val="24"/>
          <w:szCs w:val="24"/>
        </w:rPr>
        <w:t xml:space="preserve"> being submitted to the insurance domicile’s regulator.  The Court also ignored that a draft of the feasibility study was provided to Peak and its owners for comment in September 2008, soon after the onsite visit was completed and prior to the decision to proceed with forming the captive.</w:t>
      </w:r>
      <w:r>
        <w:rPr>
          <w:rStyle w:val="EndnoteReference"/>
          <w:rFonts w:ascii="Times New Roman" w:hAnsi="Times New Roman" w:cs="Times New Roman"/>
          <w:sz w:val="24"/>
          <w:szCs w:val="24"/>
        </w:rPr>
        <w:endnoteReference w:id="145"/>
      </w:r>
      <w:r>
        <w:rPr>
          <w:rFonts w:ascii="Times New Roman" w:hAnsi="Times New Roman" w:cs="Times New Roman"/>
          <w:sz w:val="24"/>
          <w:szCs w:val="24"/>
        </w:rPr>
        <w:t xml:space="preserve">  T</w:t>
      </w:r>
      <w:r w:rsidRPr="004E108D">
        <w:rPr>
          <w:rFonts w:ascii="Times New Roman" w:hAnsi="Times New Roman" w:cs="Times New Roman"/>
          <w:sz w:val="24"/>
          <w:szCs w:val="24"/>
        </w:rPr>
        <w:t xml:space="preserve">he </w:t>
      </w:r>
      <w:r>
        <w:rPr>
          <w:rFonts w:ascii="Times New Roman" w:hAnsi="Times New Roman" w:cs="Times New Roman"/>
          <w:sz w:val="24"/>
          <w:szCs w:val="24"/>
        </w:rPr>
        <w:t>Court</w:t>
      </w:r>
      <w:r w:rsidRPr="004E108D">
        <w:rPr>
          <w:rFonts w:ascii="Times New Roman" w:hAnsi="Times New Roman" w:cs="Times New Roman"/>
          <w:sz w:val="24"/>
          <w:szCs w:val="24"/>
        </w:rPr>
        <w:t xml:space="preserve"> </w:t>
      </w:r>
      <w:r>
        <w:rPr>
          <w:rFonts w:ascii="Times New Roman" w:hAnsi="Times New Roman" w:cs="Times New Roman"/>
          <w:sz w:val="24"/>
          <w:szCs w:val="24"/>
        </w:rPr>
        <w:t xml:space="preserve">also erroneously </w:t>
      </w:r>
      <w:r w:rsidRPr="004E108D">
        <w:rPr>
          <w:rFonts w:ascii="Times New Roman" w:hAnsi="Times New Roman" w:cs="Times New Roman"/>
          <w:sz w:val="24"/>
          <w:szCs w:val="24"/>
        </w:rPr>
        <w:t>complained about the</w:t>
      </w:r>
      <w:r>
        <w:rPr>
          <w:rFonts w:ascii="Times New Roman" w:hAnsi="Times New Roman" w:cs="Times New Roman"/>
          <w:sz w:val="24"/>
          <w:szCs w:val="24"/>
        </w:rPr>
        <w:t xml:space="preserve"> management team </w:t>
      </w:r>
      <w:r w:rsidRPr="004E108D">
        <w:rPr>
          <w:rFonts w:ascii="Times New Roman" w:hAnsi="Times New Roman" w:cs="Times New Roman"/>
          <w:sz w:val="24"/>
          <w:szCs w:val="24"/>
        </w:rPr>
        <w:t xml:space="preserve">continuing to update </w:t>
      </w:r>
      <w:r>
        <w:rPr>
          <w:rFonts w:ascii="Times New Roman" w:hAnsi="Times New Roman" w:cs="Times New Roman"/>
          <w:sz w:val="24"/>
          <w:szCs w:val="24"/>
        </w:rPr>
        <w:t xml:space="preserve">its underwriting </w:t>
      </w:r>
      <w:r w:rsidRPr="004E108D">
        <w:rPr>
          <w:rFonts w:ascii="Times New Roman" w:hAnsi="Times New Roman" w:cs="Times New Roman"/>
          <w:sz w:val="24"/>
          <w:szCs w:val="24"/>
        </w:rPr>
        <w:t xml:space="preserve">files </w:t>
      </w:r>
      <w:r>
        <w:rPr>
          <w:rFonts w:ascii="Times New Roman" w:hAnsi="Times New Roman" w:cs="Times New Roman"/>
          <w:sz w:val="24"/>
          <w:szCs w:val="24"/>
        </w:rPr>
        <w:t xml:space="preserve">throughout the life of the captive </w:t>
      </w:r>
      <w:r w:rsidRPr="004E108D">
        <w:rPr>
          <w:rFonts w:ascii="Times New Roman" w:hAnsi="Times New Roman" w:cs="Times New Roman"/>
          <w:sz w:val="24"/>
          <w:szCs w:val="24"/>
        </w:rPr>
        <w:t>with information</w:t>
      </w:r>
      <w:r w:rsidRPr="008817CC">
        <w:rPr>
          <w:rFonts w:ascii="Times New Roman" w:hAnsi="Times New Roman" w:cs="Times New Roman"/>
          <w:sz w:val="24"/>
          <w:szCs w:val="24"/>
        </w:rPr>
        <w:t xml:space="preserve"> in furtherance of its duties</w:t>
      </w:r>
      <w:r>
        <w:rPr>
          <w:rFonts w:ascii="Times New Roman" w:hAnsi="Times New Roman" w:cs="Times New Roman"/>
          <w:sz w:val="24"/>
          <w:szCs w:val="24"/>
        </w:rPr>
        <w:t>, as somehow being evidence that the feasibility study was not performed prior to Reserve’s formation.</w:t>
      </w:r>
      <w:r>
        <w:rPr>
          <w:rStyle w:val="EndnoteReference"/>
          <w:rFonts w:ascii="Times New Roman" w:hAnsi="Times New Roman" w:cs="Times New Roman"/>
          <w:sz w:val="24"/>
          <w:szCs w:val="24"/>
        </w:rPr>
        <w:endnoteReference w:id="146"/>
      </w:r>
      <w:r>
        <w:rPr>
          <w:rFonts w:ascii="Times New Roman" w:hAnsi="Times New Roman" w:cs="Times New Roman"/>
          <w:sz w:val="24"/>
          <w:szCs w:val="24"/>
        </w:rPr>
        <w:t xml:space="preserve">  </w:t>
      </w:r>
      <w:r w:rsidRPr="008817CC">
        <w:rPr>
          <w:rFonts w:ascii="Times New Roman" w:hAnsi="Times New Roman" w:cs="Times New Roman"/>
          <w:sz w:val="24"/>
          <w:szCs w:val="24"/>
        </w:rPr>
        <w:t xml:space="preserve">All of this was raised </w:t>
      </w:r>
      <w:r w:rsidRPr="0030426B">
        <w:rPr>
          <w:rFonts w:ascii="Times New Roman" w:hAnsi="Times New Roman" w:cs="Times New Roman"/>
          <w:i/>
          <w:sz w:val="24"/>
          <w:szCs w:val="24"/>
        </w:rPr>
        <w:t>sua sponte</w:t>
      </w:r>
      <w:r w:rsidRPr="008817CC">
        <w:rPr>
          <w:rFonts w:ascii="Times New Roman" w:hAnsi="Times New Roman" w:cs="Times New Roman"/>
          <w:sz w:val="24"/>
          <w:szCs w:val="24"/>
        </w:rPr>
        <w:t xml:space="preserve"> by the </w:t>
      </w:r>
      <w:r>
        <w:rPr>
          <w:rFonts w:ascii="Times New Roman" w:hAnsi="Times New Roman" w:cs="Times New Roman"/>
          <w:sz w:val="24"/>
          <w:szCs w:val="24"/>
        </w:rPr>
        <w:t>Court</w:t>
      </w:r>
      <w:r w:rsidRPr="008817CC">
        <w:rPr>
          <w:rFonts w:ascii="Times New Roman" w:hAnsi="Times New Roman" w:cs="Times New Roman"/>
          <w:sz w:val="24"/>
          <w:szCs w:val="24"/>
        </w:rPr>
        <w:t>,</w:t>
      </w:r>
      <w:r>
        <w:rPr>
          <w:rFonts w:ascii="Times New Roman" w:hAnsi="Times New Roman" w:cs="Times New Roman"/>
          <w:sz w:val="24"/>
          <w:szCs w:val="24"/>
        </w:rPr>
        <w:t xml:space="preserve"> </w:t>
      </w:r>
      <w:r w:rsidRPr="008817CC">
        <w:rPr>
          <w:rFonts w:ascii="Times New Roman" w:hAnsi="Times New Roman" w:cs="Times New Roman"/>
          <w:sz w:val="24"/>
          <w:szCs w:val="24"/>
        </w:rPr>
        <w:t xml:space="preserve">without any evidence </w:t>
      </w:r>
      <w:r w:rsidRPr="00407B28">
        <w:rPr>
          <w:rFonts w:ascii="Times New Roman" w:hAnsi="Times New Roman" w:cs="Times New Roman"/>
          <w:sz w:val="24"/>
          <w:szCs w:val="24"/>
        </w:rPr>
        <w:t xml:space="preserve">presented or even allegations by the government regarding the timeliness or sufficiency of the information that the captive manager evaluated in connection with </w:t>
      </w:r>
      <w:r>
        <w:rPr>
          <w:rFonts w:ascii="Times New Roman" w:hAnsi="Times New Roman" w:cs="Times New Roman"/>
          <w:sz w:val="24"/>
          <w:szCs w:val="24"/>
        </w:rPr>
        <w:t xml:space="preserve">arranging for the </w:t>
      </w:r>
      <w:r w:rsidRPr="00407B28">
        <w:rPr>
          <w:rFonts w:ascii="Times New Roman" w:hAnsi="Times New Roman" w:cs="Times New Roman"/>
          <w:sz w:val="24"/>
          <w:szCs w:val="24"/>
        </w:rPr>
        <w:t>feasibility study.</w:t>
      </w:r>
    </w:p>
    <w:p w14:paraId="664472C9" w14:textId="77777777" w:rsidR="00250577" w:rsidRPr="0036725A" w:rsidRDefault="00250577" w:rsidP="00DD4BBE">
      <w:pPr>
        <w:spacing w:after="0" w:line="240" w:lineRule="auto"/>
        <w:rPr>
          <w:rFonts w:ascii="Times New Roman" w:hAnsi="Times New Roman" w:cs="Times New Roman"/>
          <w:sz w:val="24"/>
          <w:szCs w:val="24"/>
        </w:rPr>
      </w:pPr>
    </w:p>
    <w:p w14:paraId="41C2A712" w14:textId="741022D6" w:rsidR="00250577" w:rsidRDefault="00250577" w:rsidP="00DD4BBE">
      <w:pPr>
        <w:spacing w:after="0" w:line="240" w:lineRule="auto"/>
        <w:rPr>
          <w:rFonts w:ascii="Times New Roman" w:hAnsi="Times New Roman" w:cs="Times New Roman"/>
          <w:sz w:val="24"/>
          <w:szCs w:val="24"/>
        </w:rPr>
      </w:pPr>
      <w:r>
        <w:rPr>
          <w:rFonts w:ascii="Times New Roman" w:hAnsi="Times New Roman" w:cs="Times New Roman"/>
          <w:sz w:val="24"/>
          <w:szCs w:val="24"/>
        </w:rPr>
        <w:t>Among its surprises is</w:t>
      </w:r>
      <w:r w:rsidRPr="0036725A">
        <w:rPr>
          <w:rFonts w:ascii="Times New Roman" w:hAnsi="Times New Roman" w:cs="Times New Roman"/>
          <w:sz w:val="24"/>
          <w:szCs w:val="24"/>
        </w:rPr>
        <w:t xml:space="preserve"> the </w:t>
      </w:r>
      <w:r>
        <w:rPr>
          <w:rFonts w:ascii="Times New Roman" w:hAnsi="Times New Roman" w:cs="Times New Roman"/>
          <w:sz w:val="24"/>
          <w:szCs w:val="24"/>
        </w:rPr>
        <w:t>Court</w:t>
      </w:r>
      <w:r w:rsidRPr="0036725A">
        <w:rPr>
          <w:rFonts w:ascii="Times New Roman" w:hAnsi="Times New Roman" w:cs="Times New Roman"/>
          <w:sz w:val="24"/>
          <w:szCs w:val="24"/>
        </w:rPr>
        <w:t>’s own subjective analysis</w:t>
      </w:r>
      <w:r>
        <w:rPr>
          <w:rFonts w:ascii="Times New Roman" w:hAnsi="Times New Roman" w:cs="Times New Roman"/>
          <w:sz w:val="24"/>
          <w:szCs w:val="24"/>
        </w:rPr>
        <w:t xml:space="preserve"> concluding that the Peak insureds </w:t>
      </w:r>
      <w:r w:rsidRPr="0036725A">
        <w:rPr>
          <w:rFonts w:ascii="Times New Roman" w:hAnsi="Times New Roman" w:cs="Times New Roman"/>
          <w:sz w:val="24"/>
          <w:szCs w:val="24"/>
        </w:rPr>
        <w:t>did not need to buy pollution</w:t>
      </w:r>
      <w:r>
        <w:rPr>
          <w:rFonts w:ascii="Times New Roman" w:hAnsi="Times New Roman" w:cs="Times New Roman"/>
          <w:sz w:val="24"/>
          <w:szCs w:val="24"/>
        </w:rPr>
        <w:t xml:space="preserve"> liability</w:t>
      </w:r>
      <w:r w:rsidRPr="0036725A">
        <w:rPr>
          <w:rFonts w:ascii="Times New Roman" w:hAnsi="Times New Roman" w:cs="Times New Roman"/>
          <w:sz w:val="24"/>
          <w:szCs w:val="24"/>
        </w:rPr>
        <w:t xml:space="preserve"> coverage because </w:t>
      </w:r>
      <w:r>
        <w:rPr>
          <w:rFonts w:ascii="Times New Roman" w:hAnsi="Times New Roman" w:cs="Times New Roman"/>
          <w:sz w:val="24"/>
          <w:szCs w:val="24"/>
        </w:rPr>
        <w:t xml:space="preserve">the Court “concluded” </w:t>
      </w:r>
      <w:r w:rsidRPr="0036725A">
        <w:rPr>
          <w:rFonts w:ascii="Times New Roman" w:hAnsi="Times New Roman" w:cs="Times New Roman"/>
          <w:sz w:val="24"/>
          <w:szCs w:val="24"/>
        </w:rPr>
        <w:t>that Peak had sufficient practices in place to protect against pollution liability.</w:t>
      </w:r>
      <w:r w:rsidRPr="0036725A">
        <w:rPr>
          <w:rStyle w:val="EndnoteReference"/>
          <w:rFonts w:ascii="Times New Roman" w:hAnsi="Times New Roman" w:cs="Times New Roman"/>
          <w:sz w:val="24"/>
          <w:szCs w:val="24"/>
        </w:rPr>
        <w:endnoteReference w:id="147"/>
      </w:r>
      <w:r>
        <w:rPr>
          <w:rFonts w:ascii="Times New Roman" w:hAnsi="Times New Roman" w:cs="Times New Roman"/>
          <w:sz w:val="24"/>
          <w:szCs w:val="24"/>
        </w:rPr>
        <w:t xml:space="preserve">  The Court’s “basis” for this </w:t>
      </w:r>
      <w:r>
        <w:rPr>
          <w:rFonts w:ascii="Times New Roman" w:hAnsi="Times New Roman" w:cs="Times New Roman"/>
          <w:sz w:val="24"/>
          <w:szCs w:val="24"/>
        </w:rPr>
        <w:lastRenderedPageBreak/>
        <w:t xml:space="preserve">“conclusion” was nowhere to be found in the record below.  Would the Court also conclude that Exxon had sufficient preventative measures in place to negate the “need” for pollution coverage before the </w:t>
      </w:r>
      <w:r w:rsidRPr="00805AE9">
        <w:rPr>
          <w:rFonts w:ascii="Times New Roman" w:hAnsi="Times New Roman" w:cs="Times New Roman"/>
          <w:i/>
          <w:sz w:val="24"/>
          <w:szCs w:val="24"/>
        </w:rPr>
        <w:t>Val</w:t>
      </w:r>
      <w:r>
        <w:rPr>
          <w:rFonts w:ascii="Times New Roman" w:hAnsi="Times New Roman" w:cs="Times New Roman"/>
          <w:i/>
          <w:sz w:val="24"/>
          <w:szCs w:val="24"/>
        </w:rPr>
        <w:t>d</w:t>
      </w:r>
      <w:r w:rsidRPr="00805AE9">
        <w:rPr>
          <w:rFonts w:ascii="Times New Roman" w:hAnsi="Times New Roman" w:cs="Times New Roman"/>
          <w:i/>
          <w:sz w:val="24"/>
          <w:szCs w:val="24"/>
        </w:rPr>
        <w:t>ez</w:t>
      </w:r>
      <w:r>
        <w:rPr>
          <w:rFonts w:ascii="Times New Roman" w:hAnsi="Times New Roman" w:cs="Times New Roman"/>
          <w:sz w:val="24"/>
          <w:szCs w:val="24"/>
        </w:rPr>
        <w:t xml:space="preserve"> or for BP before the Macondo disaster?  In any event, the basis for the Court’s re-interpretation of a “fortuitous loss”  is nowhere to be found at trial.</w:t>
      </w:r>
    </w:p>
    <w:p w14:paraId="65C7ABED" w14:textId="77777777" w:rsidR="00250577" w:rsidRDefault="00250577" w:rsidP="00DD4BBE">
      <w:pPr>
        <w:spacing w:after="0" w:line="240" w:lineRule="auto"/>
        <w:rPr>
          <w:rFonts w:ascii="Times New Roman" w:hAnsi="Times New Roman" w:cs="Times New Roman"/>
          <w:sz w:val="24"/>
          <w:szCs w:val="24"/>
        </w:rPr>
      </w:pPr>
    </w:p>
    <w:p w14:paraId="63902C96" w14:textId="18BE61AB" w:rsidR="00250577" w:rsidRDefault="00250577" w:rsidP="007E6C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Court also cast aside Reserve’s pollution liability policy’s coverage under the </w:t>
      </w:r>
      <w:r w:rsidRPr="00845196">
        <w:rPr>
          <w:rFonts w:ascii="Times New Roman" w:hAnsi="Times New Roman" w:cs="Times New Roman"/>
          <w:sz w:val="24"/>
          <w:szCs w:val="24"/>
        </w:rPr>
        <w:t xml:space="preserve">Comprehensive Environmental Response, </w:t>
      </w:r>
      <w:r w:rsidRPr="0093486A">
        <w:rPr>
          <w:rFonts w:ascii="Times New Roman" w:hAnsi="Times New Roman" w:cs="Times New Roman"/>
          <w:sz w:val="24"/>
          <w:szCs w:val="24"/>
        </w:rPr>
        <w:t>Compensation, and Liability Act of 1980 (“CERCLA”)</w:t>
      </w:r>
      <w:r>
        <w:rPr>
          <w:rStyle w:val="EndnoteReference"/>
          <w:rFonts w:ascii="Times New Roman" w:hAnsi="Times New Roman" w:cs="Times New Roman"/>
          <w:sz w:val="24"/>
          <w:szCs w:val="24"/>
        </w:rPr>
        <w:endnoteReference w:id="148"/>
      </w:r>
      <w:r>
        <w:rPr>
          <w:rFonts w:ascii="Times New Roman" w:hAnsi="Times New Roman" w:cs="Times New Roman"/>
          <w:sz w:val="24"/>
          <w:szCs w:val="24"/>
        </w:rPr>
        <w:t xml:space="preserve"> wherein a person may be compelled by the EPA </w:t>
      </w:r>
      <w:r w:rsidRPr="0093486A">
        <w:rPr>
          <w:rFonts w:ascii="Times New Roman" w:hAnsi="Times New Roman" w:cs="Times New Roman"/>
          <w:sz w:val="24"/>
          <w:szCs w:val="24"/>
        </w:rPr>
        <w:t xml:space="preserve">to clean up </w:t>
      </w:r>
      <w:r>
        <w:rPr>
          <w:rFonts w:ascii="Times New Roman" w:hAnsi="Times New Roman" w:cs="Times New Roman"/>
          <w:sz w:val="24"/>
          <w:szCs w:val="24"/>
        </w:rPr>
        <w:t xml:space="preserve">a </w:t>
      </w:r>
      <w:r w:rsidRPr="0093486A">
        <w:rPr>
          <w:rFonts w:ascii="Times New Roman" w:hAnsi="Times New Roman" w:cs="Times New Roman"/>
          <w:sz w:val="24"/>
          <w:szCs w:val="24"/>
        </w:rPr>
        <w:t>site</w:t>
      </w:r>
      <w:r>
        <w:rPr>
          <w:rFonts w:ascii="Times New Roman" w:hAnsi="Times New Roman" w:cs="Times New Roman"/>
          <w:sz w:val="24"/>
          <w:szCs w:val="24"/>
        </w:rPr>
        <w:t xml:space="preserve"> or </w:t>
      </w:r>
      <w:r w:rsidRPr="0093486A">
        <w:rPr>
          <w:rFonts w:ascii="Times New Roman" w:hAnsi="Times New Roman" w:cs="Times New Roman"/>
          <w:sz w:val="24"/>
          <w:szCs w:val="24"/>
        </w:rPr>
        <w:t xml:space="preserve">undertake </w:t>
      </w:r>
      <w:r>
        <w:rPr>
          <w:rFonts w:ascii="Times New Roman" w:hAnsi="Times New Roman" w:cs="Times New Roman"/>
          <w:sz w:val="24"/>
          <w:szCs w:val="24"/>
        </w:rPr>
        <w:t xml:space="preserve">an environmental </w:t>
      </w:r>
      <w:r w:rsidRPr="0093486A">
        <w:rPr>
          <w:rFonts w:ascii="Times New Roman" w:hAnsi="Times New Roman" w:cs="Times New Roman"/>
          <w:sz w:val="24"/>
          <w:szCs w:val="24"/>
        </w:rPr>
        <w:t xml:space="preserve">cleanup </w:t>
      </w:r>
      <w:r>
        <w:rPr>
          <w:rFonts w:ascii="Times New Roman" w:hAnsi="Times New Roman" w:cs="Times New Roman"/>
          <w:sz w:val="24"/>
          <w:szCs w:val="24"/>
        </w:rPr>
        <w:t>or be assessed the cleanup costs.  Despite Reserve including a detailed description in its opening brief describing Peak’s Superfund liability exposure,</w:t>
      </w:r>
      <w:r>
        <w:rPr>
          <w:rStyle w:val="EndnoteReference"/>
          <w:rFonts w:ascii="Times New Roman" w:hAnsi="Times New Roman" w:cs="Times New Roman"/>
          <w:sz w:val="24"/>
          <w:szCs w:val="24"/>
        </w:rPr>
        <w:endnoteReference w:id="149"/>
      </w:r>
      <w:r>
        <w:rPr>
          <w:rFonts w:ascii="Times New Roman" w:hAnsi="Times New Roman" w:cs="Times New Roman"/>
          <w:sz w:val="24"/>
          <w:szCs w:val="24"/>
        </w:rPr>
        <w:t xml:space="preserve"> the Court incorrectly concluded that Superfund site landowners do not face a fortuitous risk of pollution liability loss.</w:t>
      </w:r>
      <w:r>
        <w:rPr>
          <w:rStyle w:val="EndnoteReference"/>
          <w:rFonts w:ascii="Times New Roman" w:hAnsi="Times New Roman" w:cs="Times New Roman"/>
          <w:sz w:val="24"/>
          <w:szCs w:val="24"/>
        </w:rPr>
        <w:endnoteReference w:id="150"/>
      </w:r>
    </w:p>
    <w:p w14:paraId="2D0B6889" w14:textId="77777777" w:rsidR="00250577" w:rsidRDefault="00250577" w:rsidP="007E6C80">
      <w:pPr>
        <w:spacing w:after="0" w:line="240" w:lineRule="auto"/>
        <w:rPr>
          <w:rFonts w:ascii="Times New Roman" w:hAnsi="Times New Roman" w:cs="Times New Roman"/>
          <w:sz w:val="24"/>
          <w:szCs w:val="24"/>
        </w:rPr>
      </w:pPr>
    </w:p>
    <w:p w14:paraId="29B614C8" w14:textId="4FB55387" w:rsidR="00250577" w:rsidRDefault="00250577" w:rsidP="007E6C80">
      <w:pPr>
        <w:spacing w:after="0" w:line="240" w:lineRule="auto"/>
        <w:rPr>
          <w:rFonts w:ascii="Times New Roman" w:hAnsi="Times New Roman" w:cs="Times New Roman"/>
          <w:sz w:val="24"/>
          <w:szCs w:val="24"/>
        </w:rPr>
      </w:pPr>
      <w:r>
        <w:rPr>
          <w:rFonts w:ascii="Times New Roman" w:hAnsi="Times New Roman" w:cs="Times New Roman"/>
          <w:sz w:val="24"/>
          <w:szCs w:val="24"/>
        </w:rPr>
        <w:t>How can the Court get it so wrong?  The Court’s misunderstanding of CERCLA may have been lifted from the testimony of government’s expert witness, Donald Riggin, who inarticulately stated that it was his “understanding” that a business located in a Superfund site would “[be]</w:t>
      </w:r>
      <w:r w:rsidRPr="007E6C80">
        <w:rPr>
          <w:rFonts w:ascii="Times New Roman" w:hAnsi="Times New Roman" w:cs="Times New Roman"/>
          <w:sz w:val="24"/>
          <w:szCs w:val="24"/>
        </w:rPr>
        <w:t xml:space="preserve"> immune from liability if </w:t>
      </w:r>
      <w:r>
        <w:rPr>
          <w:rFonts w:ascii="Times New Roman" w:hAnsi="Times New Roman" w:cs="Times New Roman"/>
          <w:sz w:val="24"/>
          <w:szCs w:val="24"/>
        </w:rPr>
        <w:t xml:space="preserve">[the business </w:t>
      </w:r>
      <w:r w:rsidRPr="007E6C80">
        <w:rPr>
          <w:rFonts w:ascii="Times New Roman" w:hAnsi="Times New Roman" w:cs="Times New Roman"/>
          <w:sz w:val="24"/>
          <w:szCs w:val="24"/>
        </w:rPr>
        <w:t>i</w:t>
      </w:r>
      <w:r>
        <w:rPr>
          <w:rFonts w:ascii="Times New Roman" w:hAnsi="Times New Roman" w:cs="Times New Roman"/>
          <w:sz w:val="24"/>
          <w:szCs w:val="24"/>
        </w:rPr>
        <w:t>s]</w:t>
      </w:r>
      <w:r w:rsidRPr="007E6C80">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7E6C80">
        <w:rPr>
          <w:rFonts w:ascii="Times New Roman" w:hAnsi="Times New Roman" w:cs="Times New Roman"/>
          <w:sz w:val="24"/>
          <w:szCs w:val="24"/>
        </w:rPr>
        <w:t>a Superfund site</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51"/>
      </w:r>
      <w:r>
        <w:rPr>
          <w:rFonts w:ascii="Times New Roman" w:hAnsi="Times New Roman" w:cs="Times New Roman"/>
          <w:sz w:val="24"/>
          <w:szCs w:val="24"/>
        </w:rPr>
        <w:t xml:space="preserve">  Mr. Riggin further stated that “</w:t>
      </w:r>
      <w:r w:rsidRPr="00D20C1B">
        <w:rPr>
          <w:rFonts w:ascii="Times New Roman" w:hAnsi="Times New Roman" w:cs="Times New Roman"/>
          <w:sz w:val="24"/>
          <w:szCs w:val="24"/>
        </w:rPr>
        <w:t>You could have liability but under the</w:t>
      </w:r>
      <w:r>
        <w:rPr>
          <w:rFonts w:ascii="Times New Roman" w:hAnsi="Times New Roman" w:cs="Times New Roman"/>
          <w:sz w:val="24"/>
          <w:szCs w:val="24"/>
        </w:rPr>
        <w:t xml:space="preserve"> </w:t>
      </w:r>
      <w:r w:rsidRPr="00D20C1B">
        <w:rPr>
          <w:rFonts w:ascii="Times New Roman" w:hAnsi="Times New Roman" w:cs="Times New Roman"/>
          <w:sz w:val="24"/>
          <w:szCs w:val="24"/>
        </w:rPr>
        <w:t>Superfund rules you do not have liability, it is a</w:t>
      </w:r>
      <w:r>
        <w:rPr>
          <w:rFonts w:ascii="Times New Roman" w:hAnsi="Times New Roman" w:cs="Times New Roman"/>
          <w:sz w:val="24"/>
          <w:szCs w:val="24"/>
        </w:rPr>
        <w:t xml:space="preserve"> </w:t>
      </w:r>
      <w:r w:rsidRPr="00D20C1B">
        <w:rPr>
          <w:rFonts w:ascii="Times New Roman" w:hAnsi="Times New Roman" w:cs="Times New Roman"/>
          <w:sz w:val="24"/>
          <w:szCs w:val="24"/>
        </w:rPr>
        <w:t>Superfund site, everything that occurs on the</w:t>
      </w:r>
      <w:r>
        <w:rPr>
          <w:rFonts w:ascii="Times New Roman" w:hAnsi="Times New Roman" w:cs="Times New Roman"/>
          <w:sz w:val="24"/>
          <w:szCs w:val="24"/>
        </w:rPr>
        <w:t xml:space="preserve"> </w:t>
      </w:r>
      <w:r w:rsidRPr="00D20C1B">
        <w:rPr>
          <w:rFonts w:ascii="Times New Roman" w:hAnsi="Times New Roman" w:cs="Times New Roman"/>
          <w:sz w:val="24"/>
          <w:szCs w:val="24"/>
        </w:rPr>
        <w:t>Superfund site is part and parcel of that</w:t>
      </w:r>
      <w:r>
        <w:rPr>
          <w:rFonts w:ascii="Times New Roman" w:hAnsi="Times New Roman" w:cs="Times New Roman"/>
          <w:sz w:val="24"/>
          <w:szCs w:val="24"/>
        </w:rPr>
        <w:t xml:space="preserve"> </w:t>
      </w:r>
      <w:r w:rsidRPr="00D20C1B">
        <w:rPr>
          <w:rFonts w:ascii="Times New Roman" w:hAnsi="Times New Roman" w:cs="Times New Roman"/>
          <w:sz w:val="24"/>
          <w:szCs w:val="24"/>
        </w:rPr>
        <w:t>environment.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52"/>
      </w:r>
      <w:r>
        <w:rPr>
          <w:rFonts w:ascii="Times New Roman" w:hAnsi="Times New Roman" w:cs="Times New Roman"/>
          <w:sz w:val="24"/>
          <w:szCs w:val="24"/>
        </w:rPr>
        <w:t xml:space="preserve">  When Mr. Riggin was asked on cross-examination if he knew why the EPA regulates a Superfund site, he simply responded “I do not know.”</w:t>
      </w:r>
      <w:r>
        <w:rPr>
          <w:rStyle w:val="EndnoteReference"/>
          <w:rFonts w:ascii="Times New Roman" w:hAnsi="Times New Roman" w:cs="Times New Roman"/>
          <w:sz w:val="24"/>
          <w:szCs w:val="24"/>
        </w:rPr>
        <w:endnoteReference w:id="153"/>
      </w:r>
      <w:r>
        <w:rPr>
          <w:rFonts w:ascii="Times New Roman" w:hAnsi="Times New Roman" w:cs="Times New Roman"/>
          <w:sz w:val="24"/>
          <w:szCs w:val="24"/>
        </w:rPr>
        <w:t xml:space="preserve">  This response evidenced Mr. Riggin’s utter lack of knowledge, despite Mr. Riggin being offered as an “insurance industry expert” by the government at trial.</w:t>
      </w:r>
      <w:r>
        <w:rPr>
          <w:rStyle w:val="EndnoteReference"/>
          <w:rFonts w:ascii="Times New Roman" w:hAnsi="Times New Roman" w:cs="Times New Roman"/>
          <w:sz w:val="24"/>
          <w:szCs w:val="24"/>
        </w:rPr>
        <w:endnoteReference w:id="154"/>
      </w:r>
      <w:r>
        <w:rPr>
          <w:rFonts w:ascii="Times New Roman" w:hAnsi="Times New Roman" w:cs="Times New Roman"/>
          <w:sz w:val="24"/>
          <w:szCs w:val="24"/>
        </w:rPr>
        <w:t xml:space="preserve">  Nonetheless, it appears that the Court may have adopted Mr. Riggin’s “no liability” assertion in concluding that Reserve’s issuance of a pollution liability policy was erroneous, as evidence of the Court’s lack of understanding of the strict liability imposed under CERCLA.</w:t>
      </w:r>
    </w:p>
    <w:p w14:paraId="4947FB4C" w14:textId="77777777" w:rsidR="00250577" w:rsidRDefault="00250577" w:rsidP="00DD4BBE">
      <w:pPr>
        <w:spacing w:after="0" w:line="240" w:lineRule="auto"/>
        <w:rPr>
          <w:rFonts w:ascii="Times New Roman" w:hAnsi="Times New Roman" w:cs="Times New Roman"/>
          <w:sz w:val="24"/>
          <w:szCs w:val="24"/>
        </w:rPr>
      </w:pPr>
    </w:p>
    <w:p w14:paraId="698066C0" w14:textId="0CB7CA48" w:rsidR="00250577" w:rsidRDefault="00250577" w:rsidP="00DD4BBE">
      <w:pPr>
        <w:spacing w:after="0" w:line="240" w:lineRule="auto"/>
        <w:rPr>
          <w:rFonts w:ascii="Times New Roman" w:hAnsi="Times New Roman" w:cs="Times New Roman"/>
          <w:sz w:val="24"/>
          <w:szCs w:val="24"/>
        </w:rPr>
      </w:pPr>
      <w:r>
        <w:rPr>
          <w:rFonts w:ascii="Times New Roman" w:hAnsi="Times New Roman" w:cs="Times New Roman"/>
          <w:sz w:val="24"/>
          <w:szCs w:val="24"/>
        </w:rPr>
        <w:t>To the contrary of the above offered testimony and as set forth in Reserve’s briefing,</w:t>
      </w:r>
      <w:r>
        <w:rPr>
          <w:rStyle w:val="EndnoteReference"/>
          <w:rFonts w:ascii="Times New Roman" w:hAnsi="Times New Roman" w:cs="Times New Roman"/>
          <w:sz w:val="24"/>
          <w:szCs w:val="24"/>
        </w:rPr>
        <w:endnoteReference w:id="155"/>
      </w:r>
      <w:r>
        <w:rPr>
          <w:rFonts w:ascii="Times New Roman" w:hAnsi="Times New Roman" w:cs="Times New Roman"/>
          <w:sz w:val="24"/>
          <w:szCs w:val="24"/>
        </w:rPr>
        <w:t xml:space="preserve"> under </w:t>
      </w:r>
      <w:r w:rsidRPr="0093486A">
        <w:rPr>
          <w:rFonts w:ascii="Times New Roman" w:hAnsi="Times New Roman" w:cs="Times New Roman"/>
          <w:sz w:val="24"/>
          <w:szCs w:val="24"/>
        </w:rPr>
        <w:t>CER</w:t>
      </w:r>
      <w:r>
        <w:rPr>
          <w:rFonts w:ascii="Times New Roman" w:hAnsi="Times New Roman" w:cs="Times New Roman"/>
          <w:sz w:val="24"/>
          <w:szCs w:val="24"/>
        </w:rPr>
        <w:t xml:space="preserve">CLA, landowners and lessees, among other parties, may be liable </w:t>
      </w:r>
      <w:r w:rsidRPr="0093486A">
        <w:rPr>
          <w:rFonts w:ascii="Times New Roman" w:hAnsi="Times New Roman" w:cs="Times New Roman"/>
          <w:sz w:val="24"/>
          <w:szCs w:val="24"/>
        </w:rPr>
        <w:t xml:space="preserve">for the contamination or misuse of property </w:t>
      </w:r>
      <w:r>
        <w:rPr>
          <w:rFonts w:ascii="Times New Roman" w:hAnsi="Times New Roman" w:cs="Times New Roman"/>
          <w:sz w:val="24"/>
          <w:szCs w:val="24"/>
        </w:rPr>
        <w:t xml:space="preserve">while under the control of another.  </w:t>
      </w:r>
      <w:r w:rsidRPr="0093486A">
        <w:rPr>
          <w:rFonts w:ascii="Times New Roman" w:hAnsi="Times New Roman" w:cs="Times New Roman"/>
          <w:sz w:val="24"/>
          <w:szCs w:val="24"/>
        </w:rPr>
        <w:t xml:space="preserve">Four </w:t>
      </w:r>
      <w:r>
        <w:rPr>
          <w:rFonts w:ascii="Times New Roman" w:hAnsi="Times New Roman" w:cs="Times New Roman"/>
          <w:sz w:val="24"/>
          <w:szCs w:val="24"/>
        </w:rPr>
        <w:t xml:space="preserve">different </w:t>
      </w:r>
      <w:r w:rsidRPr="0093486A">
        <w:rPr>
          <w:rFonts w:ascii="Times New Roman" w:hAnsi="Times New Roman" w:cs="Times New Roman"/>
          <w:sz w:val="24"/>
          <w:szCs w:val="24"/>
        </w:rPr>
        <w:t xml:space="preserve">classes of </w:t>
      </w:r>
      <w:r>
        <w:rPr>
          <w:rFonts w:ascii="Times New Roman" w:hAnsi="Times New Roman" w:cs="Times New Roman"/>
          <w:sz w:val="24"/>
          <w:szCs w:val="24"/>
        </w:rPr>
        <w:t>potentially responsible parties (</w:t>
      </w:r>
      <w:r w:rsidRPr="0093486A">
        <w:rPr>
          <w:rFonts w:ascii="Times New Roman" w:hAnsi="Times New Roman" w:cs="Times New Roman"/>
          <w:sz w:val="24"/>
          <w:szCs w:val="24"/>
        </w:rPr>
        <w:t>PRPs</w:t>
      </w:r>
      <w:r>
        <w:rPr>
          <w:rFonts w:ascii="Times New Roman" w:hAnsi="Times New Roman" w:cs="Times New Roman"/>
          <w:sz w:val="24"/>
          <w:szCs w:val="24"/>
        </w:rPr>
        <w:t>)</w:t>
      </w:r>
      <w:r w:rsidRPr="0093486A">
        <w:rPr>
          <w:rFonts w:ascii="Times New Roman" w:hAnsi="Times New Roman" w:cs="Times New Roman"/>
          <w:sz w:val="24"/>
          <w:szCs w:val="24"/>
        </w:rPr>
        <w:t xml:space="preserve"> may be</w:t>
      </w:r>
      <w:r>
        <w:rPr>
          <w:rFonts w:ascii="Times New Roman" w:hAnsi="Times New Roman" w:cs="Times New Roman"/>
          <w:sz w:val="24"/>
          <w:szCs w:val="24"/>
        </w:rPr>
        <w:t xml:space="preserve"> held</w:t>
      </w:r>
      <w:r w:rsidRPr="0093486A">
        <w:rPr>
          <w:rFonts w:ascii="Times New Roman" w:hAnsi="Times New Roman" w:cs="Times New Roman"/>
          <w:sz w:val="24"/>
          <w:szCs w:val="24"/>
        </w:rPr>
        <w:t xml:space="preserve"> liable for contamination at a Superfund site</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56"/>
      </w:r>
      <w:r>
        <w:rPr>
          <w:rFonts w:ascii="Times New Roman" w:hAnsi="Times New Roman" w:cs="Times New Roman"/>
          <w:sz w:val="24"/>
          <w:szCs w:val="24"/>
        </w:rPr>
        <w:t xml:space="preserve">  Yet, t</w:t>
      </w:r>
      <w:r w:rsidRPr="00AF65DF">
        <w:rPr>
          <w:rFonts w:ascii="Times New Roman" w:hAnsi="Times New Roman" w:cs="Times New Roman"/>
          <w:sz w:val="24"/>
          <w:szCs w:val="24"/>
        </w:rPr>
        <w:t xml:space="preserve">he </w:t>
      </w:r>
      <w:r>
        <w:rPr>
          <w:rFonts w:ascii="Times New Roman" w:hAnsi="Times New Roman" w:cs="Times New Roman"/>
          <w:sz w:val="24"/>
          <w:szCs w:val="24"/>
        </w:rPr>
        <w:t>Court</w:t>
      </w:r>
      <w:r w:rsidRPr="00AF65DF">
        <w:rPr>
          <w:rFonts w:ascii="Times New Roman" w:hAnsi="Times New Roman" w:cs="Times New Roman"/>
          <w:sz w:val="24"/>
          <w:szCs w:val="24"/>
        </w:rPr>
        <w:t xml:space="preserve"> reached </w:t>
      </w:r>
      <w:r>
        <w:rPr>
          <w:rFonts w:ascii="Times New Roman" w:hAnsi="Times New Roman" w:cs="Times New Roman"/>
          <w:sz w:val="24"/>
          <w:szCs w:val="24"/>
        </w:rPr>
        <w:t xml:space="preserve">an </w:t>
      </w:r>
      <w:r w:rsidRPr="00AF65DF">
        <w:rPr>
          <w:rFonts w:ascii="Times New Roman" w:hAnsi="Times New Roman" w:cs="Times New Roman"/>
          <w:sz w:val="24"/>
          <w:szCs w:val="24"/>
        </w:rPr>
        <w:t>erroneous conclusion</w:t>
      </w:r>
      <w:r>
        <w:rPr>
          <w:rFonts w:ascii="Times New Roman" w:hAnsi="Times New Roman" w:cs="Times New Roman"/>
          <w:sz w:val="24"/>
          <w:szCs w:val="24"/>
        </w:rPr>
        <w:t xml:space="preserve"> on its own, without the benefit of either testimony or argument that Peak “</w:t>
      </w:r>
      <w:r w:rsidRPr="00887B8A">
        <w:rPr>
          <w:rFonts w:ascii="Times New Roman" w:hAnsi="Times New Roman" w:cs="Times New Roman"/>
          <w:sz w:val="24"/>
          <w:szCs w:val="24"/>
        </w:rPr>
        <w:t>already had systems in place to control the fluid runoff when it cleaned equipment used in polluted mines</w:t>
      </w:r>
      <w:r>
        <w:rPr>
          <w:rFonts w:ascii="Times New Roman" w:hAnsi="Times New Roman" w:cs="Times New Roman"/>
          <w:sz w:val="24"/>
          <w:szCs w:val="24"/>
        </w:rPr>
        <w:t xml:space="preserve">.”  Given the broad potential reach of CERCLA and the fact that Peak was </w:t>
      </w:r>
      <w:r w:rsidRPr="007A3737">
        <w:rPr>
          <w:rFonts w:ascii="Times New Roman" w:hAnsi="Times New Roman" w:cs="Times New Roman"/>
          <w:sz w:val="24"/>
          <w:szCs w:val="24"/>
        </w:rPr>
        <w:t>physically located in a Superfund site</w:t>
      </w:r>
      <w:r>
        <w:rPr>
          <w:rFonts w:ascii="Times New Roman" w:hAnsi="Times New Roman" w:cs="Times New Roman"/>
          <w:sz w:val="24"/>
          <w:szCs w:val="24"/>
        </w:rPr>
        <w:t xml:space="preserve">, with the property’s exposure exacerbated by its work on contaminated equipment brought there from offsite contaminated mines where the Peak insureds worked, the Court was clearly erroneous in concluding that the Peak insureds did not have a fortuitous risk of pollution liability, resulting in its desire to insure such.  Furthermore, the Court lacked any basis for concluding, by way of example, that the Peak insureds had reasonable procedures in place so as to limit liability.  The Court substituted its own business, scientific and engineering judgment for that of the insureds in its finding that there was not a “genuine </w:t>
      </w:r>
      <w:r w:rsidRPr="00BA5C7A">
        <w:rPr>
          <w:rFonts w:ascii="Times New Roman" w:hAnsi="Times New Roman" w:cs="Times New Roman"/>
          <w:sz w:val="24"/>
          <w:szCs w:val="24"/>
        </w:rPr>
        <w:t>need</w:t>
      </w:r>
      <w:r>
        <w:rPr>
          <w:rFonts w:ascii="Times New Roman" w:hAnsi="Times New Roman" w:cs="Times New Roman"/>
          <w:sz w:val="24"/>
          <w:szCs w:val="24"/>
        </w:rPr>
        <w:t>”</w:t>
      </w:r>
      <w:r w:rsidRPr="00BA5C7A">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BA5C7A">
        <w:rPr>
          <w:rFonts w:ascii="Times New Roman" w:hAnsi="Times New Roman" w:cs="Times New Roman"/>
          <w:sz w:val="24"/>
          <w:szCs w:val="24"/>
        </w:rPr>
        <w:t>pollution liability coverage</w:t>
      </w:r>
      <w:r w:rsidRPr="00AF65DF">
        <w:rPr>
          <w:rFonts w:ascii="Times New Roman" w:hAnsi="Times New Roman" w:cs="Times New Roman"/>
          <w:sz w:val="24"/>
          <w:szCs w:val="24"/>
        </w:rPr>
        <w:t>.</w:t>
      </w:r>
      <w:r>
        <w:rPr>
          <w:rStyle w:val="EndnoteReference"/>
          <w:rFonts w:ascii="Times New Roman" w:hAnsi="Times New Roman" w:cs="Times New Roman"/>
          <w:sz w:val="24"/>
          <w:szCs w:val="24"/>
        </w:rPr>
        <w:endnoteReference w:id="157"/>
      </w:r>
    </w:p>
    <w:p w14:paraId="7DF2D346" w14:textId="77777777" w:rsidR="00250577" w:rsidRDefault="00250577" w:rsidP="00DD4BBE">
      <w:pPr>
        <w:spacing w:after="0" w:line="240" w:lineRule="auto"/>
        <w:rPr>
          <w:rFonts w:ascii="Times New Roman" w:hAnsi="Times New Roman" w:cs="Times New Roman"/>
          <w:sz w:val="24"/>
          <w:szCs w:val="24"/>
        </w:rPr>
      </w:pPr>
    </w:p>
    <w:p w14:paraId="412AEF6D" w14:textId="36CFEC46" w:rsidR="00250577" w:rsidRDefault="00250577" w:rsidP="00DD4BBE">
      <w:pPr>
        <w:spacing w:after="0" w:line="240" w:lineRule="auto"/>
        <w:rPr>
          <w:rFonts w:ascii="Times New Roman" w:hAnsi="Times New Roman" w:cs="Times New Roman"/>
          <w:sz w:val="24"/>
          <w:szCs w:val="24"/>
        </w:rPr>
      </w:pPr>
      <w:r w:rsidRPr="0036725A">
        <w:rPr>
          <w:rFonts w:ascii="Times New Roman" w:hAnsi="Times New Roman" w:cs="Times New Roman"/>
          <w:sz w:val="24"/>
          <w:szCs w:val="24"/>
        </w:rPr>
        <w:t xml:space="preserve">According to this </w:t>
      </w:r>
      <w:r>
        <w:rPr>
          <w:rFonts w:ascii="Times New Roman" w:hAnsi="Times New Roman" w:cs="Times New Roman"/>
          <w:sz w:val="24"/>
          <w:szCs w:val="24"/>
        </w:rPr>
        <w:t>Court</w:t>
      </w:r>
      <w:r w:rsidRPr="0036725A">
        <w:rPr>
          <w:rFonts w:ascii="Times New Roman" w:hAnsi="Times New Roman" w:cs="Times New Roman"/>
          <w:sz w:val="24"/>
          <w:szCs w:val="24"/>
        </w:rPr>
        <w:t xml:space="preserve">, a subsequent inquiry </w:t>
      </w:r>
      <w:r>
        <w:rPr>
          <w:rFonts w:ascii="Times New Roman" w:hAnsi="Times New Roman" w:cs="Times New Roman"/>
          <w:sz w:val="24"/>
          <w:szCs w:val="24"/>
        </w:rPr>
        <w:t xml:space="preserve">may </w:t>
      </w:r>
      <w:r w:rsidRPr="0036725A">
        <w:rPr>
          <w:rFonts w:ascii="Times New Roman" w:hAnsi="Times New Roman" w:cs="Times New Roman"/>
          <w:sz w:val="24"/>
          <w:szCs w:val="24"/>
        </w:rPr>
        <w:t>be made for each policy</w:t>
      </w:r>
      <w:r>
        <w:rPr>
          <w:rFonts w:ascii="Times New Roman" w:hAnsi="Times New Roman" w:cs="Times New Roman"/>
          <w:sz w:val="24"/>
          <w:szCs w:val="24"/>
        </w:rPr>
        <w:t xml:space="preserve"> wherein, if a court views (regardless of the lack of testimony) </w:t>
      </w:r>
      <w:r w:rsidRPr="0036725A">
        <w:rPr>
          <w:rFonts w:ascii="Times New Roman" w:hAnsi="Times New Roman" w:cs="Times New Roman"/>
          <w:sz w:val="24"/>
          <w:szCs w:val="24"/>
        </w:rPr>
        <w:t xml:space="preserve">the risks </w:t>
      </w:r>
      <w:r>
        <w:rPr>
          <w:rFonts w:ascii="Times New Roman" w:hAnsi="Times New Roman" w:cs="Times New Roman"/>
          <w:sz w:val="24"/>
          <w:szCs w:val="24"/>
        </w:rPr>
        <w:t>as</w:t>
      </w:r>
      <w:r w:rsidRPr="0036725A">
        <w:rPr>
          <w:rFonts w:ascii="Times New Roman" w:hAnsi="Times New Roman" w:cs="Times New Roman"/>
          <w:sz w:val="24"/>
          <w:szCs w:val="24"/>
        </w:rPr>
        <w:t xml:space="preserve"> not </w:t>
      </w:r>
      <w:r>
        <w:rPr>
          <w:rFonts w:ascii="Times New Roman" w:hAnsi="Times New Roman" w:cs="Times New Roman"/>
          <w:sz w:val="24"/>
          <w:szCs w:val="24"/>
        </w:rPr>
        <w:t xml:space="preserve">being </w:t>
      </w:r>
      <w:r w:rsidRPr="0036725A">
        <w:rPr>
          <w:rFonts w:ascii="Times New Roman" w:hAnsi="Times New Roman" w:cs="Times New Roman"/>
          <w:sz w:val="24"/>
          <w:szCs w:val="24"/>
        </w:rPr>
        <w:t xml:space="preserve">sufficient (e.g., there’s not pollution </w:t>
      </w:r>
      <w:r>
        <w:rPr>
          <w:rFonts w:ascii="Times New Roman" w:hAnsi="Times New Roman" w:cs="Times New Roman"/>
          <w:sz w:val="24"/>
          <w:szCs w:val="24"/>
        </w:rPr>
        <w:t xml:space="preserve">liability </w:t>
      </w:r>
      <w:r w:rsidRPr="0036725A">
        <w:rPr>
          <w:rFonts w:ascii="Times New Roman" w:hAnsi="Times New Roman" w:cs="Times New Roman"/>
          <w:sz w:val="24"/>
          <w:szCs w:val="24"/>
        </w:rPr>
        <w:t xml:space="preserve">risk in the </w:t>
      </w:r>
      <w:r>
        <w:rPr>
          <w:rFonts w:ascii="Times New Roman" w:hAnsi="Times New Roman" w:cs="Times New Roman"/>
          <w:sz w:val="24"/>
          <w:szCs w:val="24"/>
        </w:rPr>
        <w:t>Court</w:t>
      </w:r>
      <w:r w:rsidRPr="0036725A">
        <w:rPr>
          <w:rFonts w:ascii="Times New Roman" w:hAnsi="Times New Roman" w:cs="Times New Roman"/>
          <w:sz w:val="24"/>
          <w:szCs w:val="24"/>
        </w:rPr>
        <w:t xml:space="preserve">’s </w:t>
      </w:r>
      <w:r>
        <w:rPr>
          <w:rFonts w:ascii="Times New Roman" w:hAnsi="Times New Roman" w:cs="Times New Roman"/>
          <w:sz w:val="24"/>
          <w:szCs w:val="24"/>
        </w:rPr>
        <w:t xml:space="preserve">later articulated </w:t>
      </w:r>
      <w:r w:rsidRPr="0036725A">
        <w:rPr>
          <w:rFonts w:ascii="Times New Roman" w:hAnsi="Times New Roman" w:cs="Times New Roman"/>
          <w:sz w:val="24"/>
          <w:szCs w:val="24"/>
        </w:rPr>
        <w:t xml:space="preserve">view), the </w:t>
      </w:r>
      <w:r>
        <w:rPr>
          <w:rFonts w:ascii="Times New Roman" w:hAnsi="Times New Roman" w:cs="Times New Roman"/>
          <w:sz w:val="24"/>
          <w:szCs w:val="24"/>
        </w:rPr>
        <w:t>Court</w:t>
      </w:r>
      <w:r w:rsidRPr="0036725A">
        <w:rPr>
          <w:rFonts w:ascii="Times New Roman" w:hAnsi="Times New Roman" w:cs="Times New Roman"/>
          <w:sz w:val="24"/>
          <w:szCs w:val="24"/>
        </w:rPr>
        <w:t xml:space="preserve"> </w:t>
      </w:r>
      <w:r>
        <w:rPr>
          <w:rFonts w:ascii="Times New Roman" w:hAnsi="Times New Roman" w:cs="Times New Roman"/>
          <w:sz w:val="24"/>
          <w:szCs w:val="24"/>
        </w:rPr>
        <w:t xml:space="preserve">can </w:t>
      </w:r>
      <w:r w:rsidRPr="0036725A">
        <w:rPr>
          <w:rFonts w:ascii="Times New Roman" w:hAnsi="Times New Roman" w:cs="Times New Roman"/>
          <w:sz w:val="24"/>
          <w:szCs w:val="24"/>
        </w:rPr>
        <w:t xml:space="preserve">deem the arrangement </w:t>
      </w:r>
      <w:r w:rsidRPr="0036725A">
        <w:rPr>
          <w:rFonts w:ascii="Times New Roman" w:hAnsi="Times New Roman" w:cs="Times New Roman"/>
          <w:sz w:val="24"/>
          <w:szCs w:val="24"/>
        </w:rPr>
        <w:lastRenderedPageBreak/>
        <w:t xml:space="preserve">not to be insurance.  </w:t>
      </w:r>
      <w:r>
        <w:rPr>
          <w:rFonts w:ascii="Times New Roman" w:hAnsi="Times New Roman" w:cs="Times New Roman"/>
          <w:sz w:val="24"/>
          <w:szCs w:val="24"/>
        </w:rPr>
        <w:t>This is all despite there being no commercial pollution policy in place, the unchallenged testimony at trial that commercial insurance coverage was unavailable to the insureds in the marketplace given their location on a polluted tract within a Superfund site, and the desire of the Peak insureds to have such coverage,</w:t>
      </w:r>
      <w:r>
        <w:rPr>
          <w:rStyle w:val="EndnoteReference"/>
          <w:rFonts w:ascii="Times New Roman" w:hAnsi="Times New Roman" w:cs="Times New Roman"/>
          <w:sz w:val="24"/>
          <w:szCs w:val="24"/>
        </w:rPr>
        <w:endnoteReference w:id="158"/>
      </w:r>
      <w:r>
        <w:rPr>
          <w:rFonts w:ascii="Times New Roman" w:hAnsi="Times New Roman" w:cs="Times New Roman"/>
          <w:sz w:val="24"/>
          <w:szCs w:val="24"/>
        </w:rPr>
        <w:t xml:space="preserve"> all while there was no duplication with the insureds’ commercial policies.  The unsupported conclusions of the Court stand in sharp contrast with the lack of any evidence offered by the government to challenge the need for these or other coverages.</w:t>
      </w:r>
    </w:p>
    <w:p w14:paraId="75A85D9A" w14:textId="77777777" w:rsidR="00250577" w:rsidRDefault="00250577" w:rsidP="00DD4BBE">
      <w:pPr>
        <w:spacing w:after="0" w:line="240" w:lineRule="auto"/>
        <w:rPr>
          <w:rFonts w:ascii="Times New Roman" w:hAnsi="Times New Roman" w:cs="Times New Roman"/>
          <w:sz w:val="24"/>
          <w:szCs w:val="24"/>
        </w:rPr>
      </w:pPr>
    </w:p>
    <w:p w14:paraId="67A02A79" w14:textId="66BA6E1E" w:rsidR="00250577" w:rsidRPr="0036725A" w:rsidRDefault="00250577" w:rsidP="00DD4B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fact, as set forth above, the government’s sole expert witness conceded that, subject to the taxpayer carrying its burden on pricing, that at least </w:t>
      </w:r>
      <w:r w:rsidRPr="007C240A">
        <w:rPr>
          <w:rFonts w:ascii="Times New Roman" w:hAnsi="Times New Roman" w:cs="Times New Roman"/>
          <w:sz w:val="24"/>
          <w:szCs w:val="24"/>
        </w:rPr>
        <w:t>11 of the 14</w:t>
      </w:r>
      <w:r>
        <w:rPr>
          <w:rFonts w:ascii="Times New Roman" w:hAnsi="Times New Roman" w:cs="Times New Roman"/>
          <w:sz w:val="24"/>
          <w:szCs w:val="24"/>
        </w:rPr>
        <w:t xml:space="preserve"> policies – including the pollution liability policy – were policies of insurance.  However, in the Court’s contrary view and with limited analysis, none of the issued insurance coverages were warranted, causing the Court to hold that Reserve did not qualify as an insurance company for federal income tax purposes. </w:t>
      </w:r>
    </w:p>
    <w:p w14:paraId="068A6284" w14:textId="77777777" w:rsidR="00250577" w:rsidRPr="0036725A" w:rsidRDefault="00250577" w:rsidP="00DD4BBE">
      <w:pPr>
        <w:spacing w:after="0" w:line="240" w:lineRule="auto"/>
        <w:rPr>
          <w:rFonts w:ascii="Times New Roman" w:hAnsi="Times New Roman" w:cs="Times New Roman"/>
          <w:sz w:val="24"/>
          <w:szCs w:val="24"/>
        </w:rPr>
      </w:pPr>
    </w:p>
    <w:p w14:paraId="05F20D6A" w14:textId="1A4164C8" w:rsidR="00250577" w:rsidRDefault="00250577" w:rsidP="00D41442">
      <w:pPr>
        <w:spacing w:after="0" w:line="240" w:lineRule="auto"/>
        <w:rPr>
          <w:rFonts w:ascii="Times New Roman" w:hAnsi="Times New Roman" w:cs="Times New Roman"/>
          <w:sz w:val="24"/>
          <w:szCs w:val="24"/>
        </w:rPr>
      </w:pPr>
      <w:r w:rsidRPr="0036725A">
        <w:rPr>
          <w:rFonts w:ascii="Times New Roman" w:hAnsi="Times New Roman" w:cs="Times New Roman"/>
          <w:sz w:val="24"/>
          <w:szCs w:val="24"/>
        </w:rPr>
        <w:t xml:space="preserve">The </w:t>
      </w:r>
      <w:r>
        <w:rPr>
          <w:rFonts w:ascii="Times New Roman" w:hAnsi="Times New Roman" w:cs="Times New Roman"/>
          <w:sz w:val="24"/>
          <w:szCs w:val="24"/>
        </w:rPr>
        <w:t>Court</w:t>
      </w:r>
      <w:r w:rsidRPr="0036725A">
        <w:rPr>
          <w:rFonts w:ascii="Times New Roman" w:hAnsi="Times New Roman" w:cs="Times New Roman"/>
          <w:sz w:val="24"/>
          <w:szCs w:val="24"/>
        </w:rPr>
        <w:t xml:space="preserve"> appears to have injected into the analysis of what type of policies that an </w:t>
      </w:r>
      <w:r w:rsidRPr="00576278">
        <w:rPr>
          <w:rFonts w:ascii="Times New Roman" w:hAnsi="Times New Roman"/>
          <w:b/>
          <w:i/>
          <w:sz w:val="24"/>
        </w:rPr>
        <w:t>insurance company</w:t>
      </w:r>
      <w:r w:rsidRPr="0036725A">
        <w:rPr>
          <w:rFonts w:ascii="Times New Roman" w:hAnsi="Times New Roman" w:cs="Times New Roman"/>
          <w:sz w:val="24"/>
          <w:szCs w:val="24"/>
        </w:rPr>
        <w:t xml:space="preserve"> can issue an inquiry into the reasons why its customer, </w:t>
      </w:r>
      <w:r w:rsidRPr="0036725A">
        <w:rPr>
          <w:rFonts w:ascii="Times New Roman" w:hAnsi="Times New Roman" w:cs="Times New Roman"/>
          <w:b/>
          <w:sz w:val="24"/>
          <w:szCs w:val="24"/>
        </w:rPr>
        <w:t>the insured</w:t>
      </w:r>
      <w:r w:rsidRPr="0036725A">
        <w:rPr>
          <w:rFonts w:ascii="Times New Roman" w:hAnsi="Times New Roman" w:cs="Times New Roman"/>
          <w:sz w:val="24"/>
          <w:szCs w:val="24"/>
        </w:rPr>
        <w:t xml:space="preserve">, is buying the policy.  The fact that Reserve’s insurance policies on their face were matched to the nature of the insureds’ business </w:t>
      </w:r>
      <w:r>
        <w:rPr>
          <w:rFonts w:ascii="Times New Roman" w:hAnsi="Times New Roman" w:cs="Times New Roman"/>
          <w:sz w:val="24"/>
          <w:szCs w:val="24"/>
        </w:rPr>
        <w:t xml:space="preserve">and risks, as identified in Peak’s feasibility study and testimony, </w:t>
      </w:r>
      <w:r w:rsidRPr="0036725A">
        <w:rPr>
          <w:rFonts w:ascii="Times New Roman" w:hAnsi="Times New Roman" w:cs="Times New Roman"/>
          <w:sz w:val="24"/>
          <w:szCs w:val="24"/>
        </w:rPr>
        <w:t xml:space="preserve">would seem to end an inquiry into why </w:t>
      </w:r>
      <w:r>
        <w:rPr>
          <w:rFonts w:ascii="Times New Roman" w:hAnsi="Times New Roman" w:cs="Times New Roman"/>
          <w:sz w:val="24"/>
          <w:szCs w:val="24"/>
        </w:rPr>
        <w:t>Peak would buy certain policies from Reserve.</w:t>
      </w:r>
      <w:r>
        <w:rPr>
          <w:rStyle w:val="EndnoteReference"/>
          <w:rFonts w:ascii="Times New Roman" w:hAnsi="Times New Roman" w:cs="Times New Roman"/>
          <w:sz w:val="24"/>
          <w:szCs w:val="24"/>
        </w:rPr>
        <w:endnoteReference w:id="159"/>
      </w:r>
      <w:r>
        <w:rPr>
          <w:rFonts w:ascii="Times New Roman" w:hAnsi="Times New Roman" w:cs="Times New Roman"/>
          <w:sz w:val="24"/>
          <w:szCs w:val="24"/>
        </w:rPr>
        <w:t xml:space="preserve">  Since Peak </w:t>
      </w:r>
      <w:r w:rsidRPr="0036725A">
        <w:rPr>
          <w:rFonts w:ascii="Times New Roman" w:hAnsi="Times New Roman" w:cs="Times New Roman"/>
          <w:sz w:val="24"/>
          <w:szCs w:val="24"/>
        </w:rPr>
        <w:t>provides, operates and services equipment 8,000 feet underground</w:t>
      </w:r>
      <w:r>
        <w:rPr>
          <w:rFonts w:ascii="Times New Roman" w:hAnsi="Times New Roman" w:cs="Times New Roman"/>
          <w:sz w:val="24"/>
          <w:szCs w:val="24"/>
        </w:rPr>
        <w:t xml:space="preserve">, operates in polluted and contaminated environments, and is physically located on and in a Superfund site, and has a finite number of large customers, Peak’s need for insurance coverages </w:t>
      </w:r>
      <w:r w:rsidRPr="0036725A">
        <w:rPr>
          <w:rFonts w:ascii="Times New Roman" w:hAnsi="Times New Roman" w:cs="Times New Roman"/>
          <w:sz w:val="24"/>
          <w:szCs w:val="24"/>
        </w:rPr>
        <w:t xml:space="preserve">beyond </w:t>
      </w:r>
      <w:r>
        <w:rPr>
          <w:rFonts w:ascii="Times New Roman" w:hAnsi="Times New Roman" w:cs="Times New Roman"/>
          <w:sz w:val="24"/>
          <w:szCs w:val="24"/>
        </w:rPr>
        <w:t xml:space="preserve">the </w:t>
      </w:r>
      <w:r w:rsidRPr="0036725A">
        <w:rPr>
          <w:rFonts w:ascii="Times New Roman" w:hAnsi="Times New Roman" w:cs="Times New Roman"/>
          <w:sz w:val="24"/>
          <w:szCs w:val="24"/>
        </w:rPr>
        <w:t xml:space="preserve">auto lability and related plain vanilla </w:t>
      </w:r>
      <w:r>
        <w:rPr>
          <w:rFonts w:ascii="Times New Roman" w:hAnsi="Times New Roman" w:cs="Times New Roman"/>
          <w:sz w:val="24"/>
          <w:szCs w:val="24"/>
        </w:rPr>
        <w:t xml:space="preserve">commercial </w:t>
      </w:r>
      <w:r w:rsidRPr="0036725A">
        <w:rPr>
          <w:rFonts w:ascii="Times New Roman" w:hAnsi="Times New Roman" w:cs="Times New Roman"/>
          <w:sz w:val="24"/>
          <w:szCs w:val="24"/>
        </w:rPr>
        <w:t>coverages</w:t>
      </w:r>
      <w:r>
        <w:rPr>
          <w:rFonts w:ascii="Times New Roman" w:hAnsi="Times New Roman" w:cs="Times New Roman"/>
          <w:sz w:val="24"/>
          <w:szCs w:val="24"/>
        </w:rPr>
        <w:t xml:space="preserve"> originally present, should be self-evident, with the Court’s conclusion to the contrary being clearly erroneous</w:t>
      </w:r>
      <w:r w:rsidRPr="0036725A">
        <w:rPr>
          <w:rFonts w:ascii="Times New Roman" w:hAnsi="Times New Roman" w:cs="Times New Roman"/>
          <w:sz w:val="24"/>
          <w:szCs w:val="24"/>
        </w:rPr>
        <w:t>.</w:t>
      </w:r>
    </w:p>
    <w:p w14:paraId="31F95C79" w14:textId="77777777" w:rsidR="00250577" w:rsidRDefault="00250577" w:rsidP="00D41442">
      <w:pPr>
        <w:spacing w:after="0" w:line="240" w:lineRule="auto"/>
        <w:rPr>
          <w:rFonts w:ascii="Times New Roman" w:hAnsi="Times New Roman" w:cs="Times New Roman"/>
          <w:sz w:val="24"/>
          <w:szCs w:val="24"/>
        </w:rPr>
      </w:pPr>
    </w:p>
    <w:p w14:paraId="7B1EBD06" w14:textId="6D345502" w:rsidR="00250577" w:rsidRDefault="00250577" w:rsidP="00D41442">
      <w:pPr>
        <w:spacing w:after="0" w:line="240" w:lineRule="auto"/>
        <w:rPr>
          <w:rFonts w:ascii="Times New Roman" w:hAnsi="Times New Roman" w:cs="Times New Roman"/>
          <w:sz w:val="24"/>
          <w:szCs w:val="24"/>
        </w:rPr>
      </w:pPr>
      <w:r w:rsidRPr="00C11BE3">
        <w:rPr>
          <w:rFonts w:ascii="Times New Roman" w:hAnsi="Times New Roman" w:cs="Times New Roman"/>
          <w:sz w:val="24"/>
          <w:szCs w:val="24"/>
        </w:rPr>
        <w:t xml:space="preserve">Absent from both the Court’s and the government’s analysis is </w:t>
      </w:r>
      <w:r>
        <w:rPr>
          <w:rFonts w:ascii="Times New Roman" w:hAnsi="Times New Roman" w:cs="Times New Roman"/>
          <w:sz w:val="24"/>
          <w:szCs w:val="24"/>
        </w:rPr>
        <w:t xml:space="preserve">why </w:t>
      </w:r>
      <w:r w:rsidRPr="00C11BE3">
        <w:rPr>
          <w:rFonts w:ascii="Times New Roman" w:hAnsi="Times New Roman" w:cs="Times New Roman"/>
          <w:sz w:val="24"/>
          <w:szCs w:val="24"/>
        </w:rPr>
        <w:t xml:space="preserve">$339,820 in payments to </w:t>
      </w:r>
      <w:r>
        <w:rPr>
          <w:rFonts w:ascii="Times New Roman" w:hAnsi="Times New Roman" w:cs="Times New Roman"/>
          <w:sz w:val="24"/>
          <w:szCs w:val="24"/>
        </w:rPr>
        <w:t xml:space="preserve">the </w:t>
      </w:r>
      <w:r w:rsidRPr="00C11BE3">
        <w:rPr>
          <w:rFonts w:ascii="Times New Roman" w:hAnsi="Times New Roman" w:cs="Times New Roman"/>
          <w:sz w:val="24"/>
          <w:szCs w:val="24"/>
        </w:rPr>
        <w:t xml:space="preserve">Peak </w:t>
      </w:r>
      <w:r>
        <w:rPr>
          <w:rFonts w:ascii="Times New Roman" w:hAnsi="Times New Roman" w:cs="Times New Roman"/>
          <w:sz w:val="24"/>
          <w:szCs w:val="24"/>
        </w:rPr>
        <w:t xml:space="preserve">insureds </w:t>
      </w:r>
      <w:r w:rsidRPr="00C11BE3">
        <w:rPr>
          <w:rFonts w:ascii="Times New Roman" w:hAnsi="Times New Roman" w:cs="Times New Roman"/>
          <w:sz w:val="24"/>
          <w:szCs w:val="24"/>
        </w:rPr>
        <w:t>(and $187,891.99</w:t>
      </w:r>
      <w:r>
        <w:rPr>
          <w:rFonts w:ascii="Times New Roman" w:hAnsi="Times New Roman" w:cs="Times New Roman"/>
          <w:sz w:val="24"/>
          <w:szCs w:val="24"/>
        </w:rPr>
        <w:t xml:space="preserve"> </w:t>
      </w:r>
      <w:r w:rsidRPr="00C11BE3">
        <w:rPr>
          <w:rFonts w:ascii="Times New Roman" w:hAnsi="Times New Roman" w:cs="Times New Roman"/>
          <w:sz w:val="24"/>
          <w:szCs w:val="24"/>
        </w:rPr>
        <w:t xml:space="preserve">in additional payments to </w:t>
      </w:r>
      <w:r>
        <w:rPr>
          <w:rFonts w:ascii="Times New Roman" w:hAnsi="Times New Roman" w:cs="Times New Roman"/>
          <w:sz w:val="24"/>
          <w:szCs w:val="24"/>
        </w:rPr>
        <w:t>unaffiliated insureds</w:t>
      </w:r>
      <w:r w:rsidRPr="00C11BE3">
        <w:rPr>
          <w:rFonts w:ascii="Times New Roman" w:hAnsi="Times New Roman" w:cs="Times New Roman"/>
          <w:sz w:val="24"/>
          <w:szCs w:val="24"/>
        </w:rPr>
        <w:t xml:space="preserve">) were </w:t>
      </w:r>
      <w:r>
        <w:rPr>
          <w:rFonts w:ascii="Times New Roman" w:hAnsi="Times New Roman" w:cs="Times New Roman"/>
          <w:sz w:val="24"/>
          <w:szCs w:val="24"/>
        </w:rPr>
        <w:t>made</w:t>
      </w:r>
      <w:r w:rsidRPr="00C11BE3">
        <w:rPr>
          <w:rFonts w:ascii="Times New Roman" w:hAnsi="Times New Roman" w:cs="Times New Roman"/>
          <w:sz w:val="24"/>
          <w:szCs w:val="24"/>
        </w:rPr>
        <w:t>, if not for</w:t>
      </w:r>
      <w:r>
        <w:rPr>
          <w:rFonts w:ascii="Times New Roman" w:hAnsi="Times New Roman" w:cs="Times New Roman"/>
          <w:sz w:val="24"/>
          <w:szCs w:val="24"/>
        </w:rPr>
        <w:t xml:space="preserve"> insurance losses. The Court was unmoved as to the business purpose of the insurance arrangement despite these significant pay-outs by Reserve.  To this Court, the payment of this direct written claim to an affiliate and payment of losses to non-affiliates did not indicate that there was a valid </w:t>
      </w:r>
      <w:r w:rsidRPr="00C11BE3">
        <w:rPr>
          <w:rFonts w:ascii="Times New Roman" w:hAnsi="Times New Roman" w:cs="Times New Roman"/>
          <w:sz w:val="24"/>
          <w:szCs w:val="24"/>
        </w:rPr>
        <w:t xml:space="preserve">business purpose for the insurance arrangement.  </w:t>
      </w:r>
      <w:r>
        <w:rPr>
          <w:rFonts w:ascii="Times New Roman" w:hAnsi="Times New Roman" w:cs="Times New Roman"/>
          <w:sz w:val="24"/>
          <w:szCs w:val="24"/>
        </w:rPr>
        <w:t xml:space="preserve"> </w:t>
      </w:r>
    </w:p>
    <w:p w14:paraId="50D23F00" w14:textId="77777777" w:rsidR="00250577" w:rsidRDefault="00250577" w:rsidP="00D41442">
      <w:pPr>
        <w:spacing w:after="0" w:line="240" w:lineRule="auto"/>
        <w:rPr>
          <w:rFonts w:ascii="Times New Roman" w:hAnsi="Times New Roman" w:cs="Times New Roman"/>
          <w:sz w:val="24"/>
          <w:szCs w:val="24"/>
        </w:rPr>
      </w:pPr>
    </w:p>
    <w:p w14:paraId="465D53F1" w14:textId="2CC7C768" w:rsidR="00250577" w:rsidRDefault="00250577" w:rsidP="00D414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more direct evidence can a court demand to show a valid business purpose beyond showing the payment of a claim made under a policy to an insured (Peak) by the insurer (Reserve) for a covered loss?  </w:t>
      </w:r>
    </w:p>
    <w:p w14:paraId="056A110E" w14:textId="77777777" w:rsidR="00250577" w:rsidRDefault="00250577" w:rsidP="00D41442">
      <w:pPr>
        <w:spacing w:after="0" w:line="240" w:lineRule="auto"/>
        <w:rPr>
          <w:rFonts w:ascii="Times New Roman" w:hAnsi="Times New Roman" w:cs="Times New Roman"/>
          <w:sz w:val="24"/>
          <w:szCs w:val="24"/>
        </w:rPr>
      </w:pPr>
    </w:p>
    <w:p w14:paraId="1A1239E4" w14:textId="294AF6E8" w:rsidR="00250577" w:rsidRDefault="00250577" w:rsidP="00D41442">
      <w:pPr>
        <w:spacing w:after="0" w:line="240" w:lineRule="auto"/>
        <w:rPr>
          <w:rFonts w:ascii="Times New Roman" w:hAnsi="Times New Roman" w:cs="Times New Roman"/>
          <w:sz w:val="24"/>
          <w:szCs w:val="24"/>
        </w:rPr>
      </w:pPr>
      <w:r>
        <w:rPr>
          <w:rFonts w:ascii="Times New Roman" w:hAnsi="Times New Roman" w:cs="Times New Roman"/>
          <w:sz w:val="24"/>
          <w:szCs w:val="24"/>
        </w:rPr>
        <w:t>Ultimately, the Court established a new standard in the Opinion that now requires an</w:t>
      </w:r>
      <w:r w:rsidRPr="00AD346E">
        <w:rPr>
          <w:rFonts w:ascii="Times New Roman" w:hAnsi="Times New Roman" w:cs="Times New Roman"/>
          <w:sz w:val="24"/>
          <w:szCs w:val="24"/>
        </w:rPr>
        <w:t xml:space="preserve"> insurer t</w:t>
      </w:r>
      <w:r>
        <w:rPr>
          <w:rFonts w:ascii="Times New Roman" w:hAnsi="Times New Roman" w:cs="Times New Roman"/>
          <w:sz w:val="24"/>
          <w:szCs w:val="24"/>
        </w:rPr>
        <w:t>o demonstrate that its insureds have a valid “business purpose” satisfactory to the Court for</w:t>
      </w:r>
      <w:r w:rsidRPr="00AD346E">
        <w:rPr>
          <w:rFonts w:ascii="Times New Roman" w:hAnsi="Times New Roman" w:cs="Times New Roman"/>
          <w:sz w:val="24"/>
          <w:szCs w:val="24"/>
        </w:rPr>
        <w:t xml:space="preserve"> acquiring </w:t>
      </w:r>
      <w:r>
        <w:rPr>
          <w:rFonts w:ascii="Times New Roman" w:hAnsi="Times New Roman" w:cs="Times New Roman"/>
          <w:sz w:val="24"/>
          <w:szCs w:val="24"/>
        </w:rPr>
        <w:t xml:space="preserve">a given insurance </w:t>
      </w:r>
      <w:r w:rsidRPr="00AD346E">
        <w:rPr>
          <w:rFonts w:ascii="Times New Roman" w:hAnsi="Times New Roman" w:cs="Times New Roman"/>
          <w:sz w:val="24"/>
          <w:szCs w:val="24"/>
        </w:rPr>
        <w:t>policy</w:t>
      </w:r>
      <w:r>
        <w:rPr>
          <w:rFonts w:ascii="Times New Roman" w:hAnsi="Times New Roman" w:cs="Times New Roman"/>
          <w:sz w:val="24"/>
          <w:szCs w:val="24"/>
        </w:rPr>
        <w:t xml:space="preserve"> from an affiliated insurer.  Oddly, the Court did not feel constrained by the jurisdictional posture of the case in that the business purpose of the non-party insureds was being adjudicated.</w:t>
      </w:r>
    </w:p>
    <w:p w14:paraId="00DB9AA9" w14:textId="77777777" w:rsidR="00250577" w:rsidRDefault="00250577" w:rsidP="00D41442">
      <w:pPr>
        <w:spacing w:after="0" w:line="240" w:lineRule="auto"/>
        <w:rPr>
          <w:rFonts w:ascii="Times New Roman" w:hAnsi="Times New Roman" w:cs="Times New Roman"/>
          <w:sz w:val="24"/>
          <w:szCs w:val="24"/>
        </w:rPr>
      </w:pPr>
    </w:p>
    <w:p w14:paraId="36B41254" w14:textId="19DB9EA4" w:rsidR="00250577" w:rsidRDefault="00250577" w:rsidP="00D414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imposing a business purpose requirement on a “for-profit” insurer to inquire into the business purpose </w:t>
      </w:r>
      <w:r w:rsidRPr="00D47797">
        <w:rPr>
          <w:rFonts w:ascii="Times New Roman" w:hAnsi="Times New Roman" w:cs="Times New Roman"/>
          <w:sz w:val="24"/>
          <w:szCs w:val="24"/>
        </w:rPr>
        <w:t>of its insureds, the Court then ignored the evidence that was presented at trial, including the testimony of Reserve’s and Peak’s 50% owner</w:t>
      </w:r>
      <w:r w:rsidRPr="00D47797">
        <w:rPr>
          <w:rStyle w:val="EndnoteReference"/>
          <w:rFonts w:ascii="Times New Roman" w:hAnsi="Times New Roman" w:cs="Times New Roman"/>
          <w:sz w:val="24"/>
          <w:szCs w:val="24"/>
        </w:rPr>
        <w:endnoteReference w:id="160"/>
      </w:r>
      <w:r w:rsidRPr="00D47797">
        <w:rPr>
          <w:rFonts w:ascii="Times New Roman" w:hAnsi="Times New Roman" w:cs="Times New Roman"/>
          <w:sz w:val="24"/>
          <w:szCs w:val="24"/>
        </w:rPr>
        <w:t xml:space="preserve"> in combination with the </w:t>
      </w:r>
      <w:r w:rsidRPr="00D47797">
        <w:rPr>
          <w:rFonts w:ascii="Times New Roman" w:hAnsi="Times New Roman" w:cs="Times New Roman"/>
          <w:sz w:val="24"/>
          <w:szCs w:val="24"/>
        </w:rPr>
        <w:lastRenderedPageBreak/>
        <w:t xml:space="preserve">testimony of Reserve’s expert witnesses regarding Peak’s need for acquiring </w:t>
      </w:r>
      <w:r w:rsidRPr="00D47797">
        <w:rPr>
          <w:rFonts w:ascii="Times New Roman" w:hAnsi="Times New Roman" w:cs="Times New Roman"/>
          <w:i/>
          <w:sz w:val="24"/>
          <w:szCs w:val="24"/>
        </w:rPr>
        <w:t>each of the direct written coverages</w:t>
      </w:r>
      <w:r w:rsidRPr="00D47797">
        <w:rPr>
          <w:rFonts w:ascii="Times New Roman" w:hAnsi="Times New Roman" w:cs="Times New Roman"/>
          <w:sz w:val="24"/>
          <w:szCs w:val="24"/>
        </w:rPr>
        <w:t xml:space="preserve">, </w:t>
      </w:r>
      <w:r>
        <w:rPr>
          <w:rFonts w:ascii="Times New Roman" w:hAnsi="Times New Roman" w:cs="Times New Roman"/>
          <w:sz w:val="24"/>
          <w:szCs w:val="24"/>
        </w:rPr>
        <w:t>among which was the testimony of experts Robert Snyder</w:t>
      </w:r>
      <w:r>
        <w:rPr>
          <w:rStyle w:val="EndnoteReference"/>
          <w:rFonts w:ascii="Times New Roman" w:hAnsi="Times New Roman" w:cs="Times New Roman"/>
          <w:sz w:val="24"/>
          <w:szCs w:val="24"/>
        </w:rPr>
        <w:endnoteReference w:id="161"/>
      </w:r>
      <w:r>
        <w:rPr>
          <w:rFonts w:ascii="Times New Roman" w:hAnsi="Times New Roman" w:cs="Times New Roman"/>
          <w:sz w:val="24"/>
          <w:szCs w:val="24"/>
        </w:rPr>
        <w:t xml:space="preserve"> and Dr. Neil Doherty.</w:t>
      </w:r>
      <w:r>
        <w:rPr>
          <w:rStyle w:val="EndnoteReference"/>
          <w:rFonts w:ascii="Times New Roman" w:hAnsi="Times New Roman" w:cs="Times New Roman"/>
          <w:sz w:val="24"/>
          <w:szCs w:val="24"/>
        </w:rPr>
        <w:endnoteReference w:id="162"/>
      </w:r>
      <w:r>
        <w:rPr>
          <w:rFonts w:ascii="Times New Roman" w:hAnsi="Times New Roman" w:cs="Times New Roman"/>
          <w:sz w:val="24"/>
          <w:szCs w:val="24"/>
        </w:rPr>
        <w:t xml:space="preserve">  The Court substituted its own subjective business judgment developed outside the record for that of the businesses’ owners in finding that Peak did not have a “genuine need” for acquiring insurance coverages to protect against fortuitous risks identified in the feasibility study that were present in operating its business.  This is all despite the government not offering any evidence or testimony at trial that would support the Court’s findings that Peak did not have a legitimate need for each of Reserve’s direct written policies.  The Court was clearly erroneous in its findings.</w:t>
      </w:r>
    </w:p>
    <w:p w14:paraId="2DD5B599" w14:textId="77777777" w:rsidR="00250577" w:rsidRDefault="00250577" w:rsidP="00D41442">
      <w:pPr>
        <w:spacing w:after="0" w:line="240" w:lineRule="auto"/>
        <w:rPr>
          <w:rFonts w:ascii="Times New Roman" w:hAnsi="Times New Roman" w:cs="Times New Roman"/>
          <w:sz w:val="24"/>
          <w:szCs w:val="24"/>
        </w:rPr>
      </w:pPr>
    </w:p>
    <w:p w14:paraId="234A2E3F" w14:textId="54C8DC02" w:rsidR="00250577" w:rsidRDefault="00250577" w:rsidP="0097552F">
      <w:pPr>
        <w:spacing w:after="0" w:line="240" w:lineRule="auto"/>
        <w:rPr>
          <w:rFonts w:ascii="Times New Roman" w:hAnsi="Times New Roman" w:cs="Times New Roman"/>
          <w:sz w:val="24"/>
          <w:szCs w:val="24"/>
        </w:rPr>
      </w:pPr>
      <w:r>
        <w:rPr>
          <w:rFonts w:ascii="Times New Roman" w:hAnsi="Times New Roman" w:cs="Times New Roman"/>
          <w:sz w:val="24"/>
          <w:szCs w:val="24"/>
        </w:rPr>
        <w:t>The Court also rejected the third-party reinsurance ceded to Reserve from Lyndon through PoolRe in its finding of no valid business purpose, concluding that such was not insurance despite the uncontroverted expert testimony from actuary Gary Fagg, who described both the underlying Lyndon insurance policies and the specific details of Reserve’s third-party reinsurance arrangement.</w:t>
      </w:r>
      <w:r>
        <w:rPr>
          <w:rStyle w:val="EndnoteReference"/>
          <w:rFonts w:ascii="Times New Roman" w:hAnsi="Times New Roman" w:cs="Times New Roman"/>
          <w:sz w:val="24"/>
          <w:szCs w:val="24"/>
        </w:rPr>
        <w:endnoteReference w:id="163"/>
      </w:r>
      <w:r>
        <w:rPr>
          <w:rFonts w:ascii="Times New Roman" w:hAnsi="Times New Roman" w:cs="Times New Roman"/>
          <w:sz w:val="24"/>
          <w:szCs w:val="24"/>
        </w:rPr>
        <w:t xml:space="preserve">  Again, in doing so the Court undertook no analysis whatsoever.  The business purpose of Reserve in assuming this third-party reinsurance was to further distribute its risks by assuming a portion of the risks of many thousands of unrelated insureds under the reinsurance agreement.</w:t>
      </w:r>
      <w:r>
        <w:rPr>
          <w:rStyle w:val="EndnoteReference"/>
          <w:rFonts w:ascii="Times New Roman" w:hAnsi="Times New Roman" w:cs="Times New Roman"/>
          <w:sz w:val="24"/>
          <w:szCs w:val="24"/>
        </w:rPr>
        <w:endnoteReference w:id="164"/>
      </w:r>
      <w:r>
        <w:rPr>
          <w:rFonts w:ascii="Times New Roman" w:hAnsi="Times New Roman" w:cs="Times New Roman"/>
          <w:sz w:val="24"/>
          <w:szCs w:val="24"/>
        </w:rPr>
        <w:t xml:space="preserve">  This reasoning was presented at trial and left uncontroverted by “expert” Riggin but nonetheless rejected by the Court.  Yet, risk distribution is a fundamental pillar of insurance which Reserve satisfied in part through insuring the many thousands of unaffiliated policy holders.  The Court’s conclusion that Reserve did not assume “insurance” from Lyndon is subject to a </w:t>
      </w:r>
      <w:r w:rsidRPr="0074160A">
        <w:rPr>
          <w:rFonts w:ascii="Times New Roman" w:hAnsi="Times New Roman" w:cs="Times New Roman"/>
          <w:i/>
          <w:sz w:val="24"/>
          <w:szCs w:val="24"/>
        </w:rPr>
        <w:t>de novo</w:t>
      </w:r>
      <w:r>
        <w:rPr>
          <w:rFonts w:ascii="Times New Roman" w:hAnsi="Times New Roman" w:cs="Times New Roman"/>
          <w:sz w:val="24"/>
          <w:szCs w:val="24"/>
        </w:rPr>
        <w:t xml:space="preserve"> standard of review as a legal issue or a mixed question of fact and law.  These third-party risks, which were originally underwritten by an unaffiliated publicly-held commercial insurer, were not only dismissed by the Court as not supporting the business </w:t>
      </w:r>
      <w:r w:rsidRPr="00A37D32">
        <w:rPr>
          <w:rFonts w:ascii="Times New Roman" w:hAnsi="Times New Roman" w:cs="Times New Roman"/>
          <w:sz w:val="24"/>
          <w:szCs w:val="24"/>
        </w:rPr>
        <w:t xml:space="preserve">purpose of Reserve, but </w:t>
      </w:r>
      <w:r>
        <w:rPr>
          <w:rFonts w:ascii="Times New Roman" w:hAnsi="Times New Roman" w:cs="Times New Roman"/>
          <w:sz w:val="24"/>
          <w:szCs w:val="24"/>
        </w:rPr>
        <w:t xml:space="preserve">the Court also arbitrarily and summarily concluded, without any analysis, </w:t>
      </w:r>
      <w:r w:rsidRPr="00A37D32">
        <w:rPr>
          <w:rFonts w:ascii="Times New Roman" w:hAnsi="Times New Roman" w:cs="Times New Roman"/>
          <w:sz w:val="24"/>
          <w:szCs w:val="24"/>
        </w:rPr>
        <w:t xml:space="preserve">that this </w:t>
      </w:r>
      <w:r w:rsidRPr="002357B8">
        <w:rPr>
          <w:rFonts w:ascii="Times New Roman" w:hAnsi="Times New Roman" w:cs="Times New Roman"/>
          <w:sz w:val="24"/>
          <w:szCs w:val="24"/>
        </w:rPr>
        <w:t>unaffiliated third party insurance was not “insurance” for tax purposes.</w:t>
      </w:r>
      <w:r w:rsidRPr="002357B8">
        <w:rPr>
          <w:rStyle w:val="EndnoteReference"/>
          <w:rFonts w:ascii="Times New Roman" w:hAnsi="Times New Roman" w:cs="Times New Roman"/>
          <w:sz w:val="24"/>
          <w:szCs w:val="24"/>
        </w:rPr>
        <w:endnoteReference w:id="165"/>
      </w:r>
      <w:r w:rsidRPr="002357B8">
        <w:rPr>
          <w:rFonts w:ascii="Times New Roman" w:hAnsi="Times New Roman" w:cs="Times New Roman"/>
          <w:sz w:val="24"/>
          <w:szCs w:val="24"/>
        </w:rPr>
        <w:t xml:space="preserve">  The Court did not feel compelled to conduct any analysis for this extraordinary position taken against a non-party.  The fact that substantial losses were paid under this third-party arrangement was not addressed by the Court.  Nor explained was the Court’s characterization of the third-party arrangement as “de minimis” despite $187,891.99 of losses being paid by Reserve to unaffiliated parties over the three years at issue.</w:t>
      </w:r>
    </w:p>
    <w:p w14:paraId="5167A485" w14:textId="0CFDFCF7" w:rsidR="00250577" w:rsidRDefault="00250577" w:rsidP="00D41442">
      <w:pPr>
        <w:spacing w:after="0" w:line="240" w:lineRule="auto"/>
        <w:rPr>
          <w:rFonts w:ascii="Times New Roman" w:hAnsi="Times New Roman" w:cs="Times New Roman"/>
          <w:sz w:val="24"/>
          <w:szCs w:val="24"/>
        </w:rPr>
      </w:pPr>
    </w:p>
    <w:p w14:paraId="101F56CC" w14:textId="77777777" w:rsidR="00250577" w:rsidRPr="0036725A" w:rsidRDefault="00250577" w:rsidP="00913B0F">
      <w:pPr>
        <w:spacing w:after="0" w:line="240" w:lineRule="auto"/>
        <w:rPr>
          <w:rFonts w:ascii="Times New Roman" w:hAnsi="Times New Roman" w:cs="Times New Roman"/>
          <w:sz w:val="24"/>
          <w:szCs w:val="24"/>
          <w:u w:val="single"/>
        </w:rPr>
      </w:pPr>
      <w:r w:rsidRPr="0036725A">
        <w:rPr>
          <w:rFonts w:ascii="Times New Roman" w:hAnsi="Times New Roman" w:cs="Times New Roman"/>
          <w:sz w:val="24"/>
          <w:szCs w:val="24"/>
          <w:u w:val="single"/>
        </w:rPr>
        <w:t>B.  Insureds Must Show Previous Actual Loss History for a Policy to be Insurance</w:t>
      </w:r>
    </w:p>
    <w:p w14:paraId="1D51877C" w14:textId="77777777" w:rsidR="00250577" w:rsidRPr="0036725A" w:rsidRDefault="00250577" w:rsidP="00913B0F">
      <w:pPr>
        <w:spacing w:after="0" w:line="240" w:lineRule="auto"/>
        <w:rPr>
          <w:rFonts w:ascii="Times New Roman" w:hAnsi="Times New Roman" w:cs="Times New Roman"/>
          <w:sz w:val="24"/>
          <w:szCs w:val="24"/>
          <w:u w:val="single"/>
        </w:rPr>
      </w:pPr>
    </w:p>
    <w:p w14:paraId="5BC75C70" w14:textId="2AFA3891" w:rsidR="00250577" w:rsidRPr="0036725A" w:rsidRDefault="00250577" w:rsidP="00C16664">
      <w:pPr>
        <w:spacing w:after="0" w:line="240" w:lineRule="auto"/>
        <w:rPr>
          <w:rFonts w:ascii="Times New Roman" w:hAnsi="Times New Roman" w:cs="Times New Roman"/>
          <w:sz w:val="24"/>
          <w:szCs w:val="24"/>
        </w:rPr>
      </w:pPr>
      <w:r w:rsidRPr="0036725A">
        <w:rPr>
          <w:rFonts w:ascii="Times New Roman" w:hAnsi="Times New Roman" w:cs="Times New Roman"/>
          <w:sz w:val="24"/>
          <w:szCs w:val="24"/>
        </w:rPr>
        <w:t xml:space="preserve">The </w:t>
      </w:r>
      <w:r>
        <w:rPr>
          <w:rFonts w:ascii="Times New Roman" w:hAnsi="Times New Roman" w:cs="Times New Roman"/>
          <w:sz w:val="24"/>
          <w:szCs w:val="24"/>
        </w:rPr>
        <w:t>C</w:t>
      </w:r>
      <w:r w:rsidRPr="0036725A">
        <w:rPr>
          <w:rFonts w:ascii="Times New Roman" w:hAnsi="Times New Roman" w:cs="Times New Roman"/>
          <w:sz w:val="24"/>
          <w:szCs w:val="24"/>
        </w:rPr>
        <w:t xml:space="preserve">ourt </w:t>
      </w:r>
      <w:r>
        <w:rPr>
          <w:rFonts w:ascii="Times New Roman" w:hAnsi="Times New Roman" w:cs="Times New Roman"/>
          <w:sz w:val="24"/>
          <w:szCs w:val="24"/>
        </w:rPr>
        <w:t xml:space="preserve">announced other groundbreaking prerequisites for insurance to be found for tax purposes.  The Court stated (or at least strongly implied) that </w:t>
      </w:r>
      <w:r w:rsidRPr="0036725A">
        <w:rPr>
          <w:rFonts w:ascii="Times New Roman" w:hAnsi="Times New Roman" w:cs="Times New Roman"/>
          <w:sz w:val="24"/>
          <w:szCs w:val="24"/>
        </w:rPr>
        <w:t xml:space="preserve">an </w:t>
      </w:r>
      <w:r w:rsidRPr="0036725A">
        <w:rPr>
          <w:rFonts w:ascii="Times New Roman" w:hAnsi="Times New Roman" w:cs="Times New Roman"/>
          <w:b/>
          <w:sz w:val="24"/>
          <w:szCs w:val="24"/>
        </w:rPr>
        <w:t>actual loss history of the insured</w:t>
      </w:r>
      <w:r w:rsidRPr="0036725A">
        <w:rPr>
          <w:rFonts w:ascii="Times New Roman" w:hAnsi="Times New Roman" w:cs="Times New Roman"/>
          <w:sz w:val="24"/>
          <w:szCs w:val="24"/>
        </w:rPr>
        <w:t xml:space="preserve"> </w:t>
      </w:r>
      <w:r>
        <w:rPr>
          <w:rFonts w:ascii="Times New Roman" w:hAnsi="Times New Roman" w:cs="Times New Roman"/>
          <w:sz w:val="24"/>
          <w:szCs w:val="24"/>
        </w:rPr>
        <w:t xml:space="preserve">must </w:t>
      </w:r>
      <w:r w:rsidRPr="0036725A">
        <w:rPr>
          <w:rFonts w:ascii="Times New Roman" w:hAnsi="Times New Roman" w:cs="Times New Roman"/>
          <w:sz w:val="24"/>
          <w:szCs w:val="24"/>
        </w:rPr>
        <w:t xml:space="preserve">be shown in the particular area of coverage as a prerequisite </w:t>
      </w:r>
      <w:r w:rsidRPr="006D3012">
        <w:rPr>
          <w:rFonts w:ascii="Times New Roman" w:hAnsi="Times New Roman" w:cs="Times New Roman"/>
          <w:b/>
          <w:i/>
          <w:sz w:val="24"/>
          <w:szCs w:val="24"/>
        </w:rPr>
        <w:t>for the insurer</w:t>
      </w:r>
      <w:r w:rsidRPr="0036725A">
        <w:rPr>
          <w:rFonts w:ascii="Times New Roman" w:hAnsi="Times New Roman" w:cs="Times New Roman"/>
          <w:sz w:val="24"/>
          <w:szCs w:val="24"/>
        </w:rPr>
        <w:t xml:space="preserve"> to </w:t>
      </w:r>
      <w:r>
        <w:rPr>
          <w:rFonts w:ascii="Times New Roman" w:hAnsi="Times New Roman" w:cs="Times New Roman"/>
          <w:sz w:val="24"/>
          <w:szCs w:val="24"/>
        </w:rPr>
        <w:t xml:space="preserve">recognize a contract as an </w:t>
      </w:r>
      <w:r w:rsidRPr="0036725A">
        <w:rPr>
          <w:rFonts w:ascii="Times New Roman" w:hAnsi="Times New Roman" w:cs="Times New Roman"/>
          <w:sz w:val="24"/>
          <w:szCs w:val="24"/>
        </w:rPr>
        <w:t>insurance policy.</w:t>
      </w:r>
      <w:r w:rsidRPr="0036725A">
        <w:rPr>
          <w:rStyle w:val="EndnoteReference"/>
          <w:rFonts w:ascii="Times New Roman" w:hAnsi="Times New Roman" w:cs="Times New Roman"/>
          <w:sz w:val="24"/>
          <w:szCs w:val="24"/>
        </w:rPr>
        <w:endnoteReference w:id="166"/>
      </w:r>
      <w:r>
        <w:rPr>
          <w:rFonts w:ascii="Times New Roman" w:hAnsi="Times New Roman" w:cs="Times New Roman"/>
          <w:sz w:val="24"/>
          <w:szCs w:val="24"/>
        </w:rPr>
        <w:t xml:space="preserve">  As with its other newly announced positions, the Court</w:t>
      </w:r>
      <w:r w:rsidRPr="0036725A">
        <w:rPr>
          <w:rFonts w:ascii="Times New Roman" w:hAnsi="Times New Roman" w:cs="Times New Roman"/>
          <w:sz w:val="24"/>
          <w:szCs w:val="24"/>
        </w:rPr>
        <w:t xml:space="preserve"> cited </w:t>
      </w:r>
      <w:r>
        <w:rPr>
          <w:rFonts w:ascii="Times New Roman" w:hAnsi="Times New Roman" w:cs="Times New Roman"/>
          <w:sz w:val="24"/>
          <w:szCs w:val="24"/>
        </w:rPr>
        <w:t xml:space="preserve">to </w:t>
      </w:r>
      <w:r w:rsidRPr="0036725A">
        <w:rPr>
          <w:rFonts w:ascii="Times New Roman" w:hAnsi="Times New Roman" w:cs="Times New Roman"/>
          <w:sz w:val="24"/>
          <w:szCs w:val="24"/>
        </w:rPr>
        <w:t>no authority</w:t>
      </w:r>
      <w:r>
        <w:rPr>
          <w:rFonts w:ascii="Times New Roman" w:hAnsi="Times New Roman" w:cs="Times New Roman"/>
          <w:sz w:val="24"/>
          <w:szCs w:val="24"/>
        </w:rPr>
        <w:t xml:space="preserve">.  Apparently, the insurer’s role is to discern that historical losses exist in an area of coverage before a policy covering the same can be issued, but not find so many losses as to undercut the profit motive of the insurer or to </w:t>
      </w:r>
      <w:r w:rsidRPr="000A47CD">
        <w:rPr>
          <w:rFonts w:ascii="Times New Roman" w:hAnsi="Times New Roman" w:cs="Times New Roman"/>
          <w:sz w:val="24"/>
          <w:szCs w:val="24"/>
        </w:rPr>
        <w:t>limit the insureds’ ability to obtain coverage for a risk that has a high risk of prospective losses.  The bar being set by the Court is undiscernible.  This newly articulated concept contrasts with long established law that insurance is to cover a fortuitous</w:t>
      </w:r>
      <w:r>
        <w:rPr>
          <w:rFonts w:ascii="Times New Roman" w:hAnsi="Times New Roman" w:cs="Times New Roman"/>
          <w:sz w:val="24"/>
          <w:szCs w:val="24"/>
        </w:rPr>
        <w:t xml:space="preserve"> risk of future losses. </w:t>
      </w:r>
    </w:p>
    <w:p w14:paraId="0A321DF7" w14:textId="77777777" w:rsidR="00250577" w:rsidRPr="0036725A" w:rsidRDefault="00250577" w:rsidP="00B40FCC">
      <w:pPr>
        <w:spacing w:after="0" w:line="240" w:lineRule="auto"/>
        <w:rPr>
          <w:rFonts w:ascii="Times New Roman" w:hAnsi="Times New Roman" w:cs="Times New Roman"/>
          <w:sz w:val="24"/>
          <w:szCs w:val="24"/>
        </w:rPr>
      </w:pPr>
    </w:p>
    <w:p w14:paraId="3FB44813" w14:textId="0A26557E" w:rsidR="00250577" w:rsidRPr="0036725A" w:rsidRDefault="00250577" w:rsidP="00B40FCC">
      <w:pPr>
        <w:spacing w:after="0" w:line="240" w:lineRule="auto"/>
        <w:rPr>
          <w:rFonts w:ascii="Times New Roman" w:hAnsi="Times New Roman" w:cs="Times New Roman"/>
          <w:sz w:val="24"/>
          <w:szCs w:val="24"/>
        </w:rPr>
      </w:pPr>
      <w:r w:rsidRPr="0036725A">
        <w:rPr>
          <w:rFonts w:ascii="Times New Roman" w:hAnsi="Times New Roman" w:cs="Times New Roman"/>
          <w:sz w:val="24"/>
          <w:szCs w:val="24"/>
        </w:rPr>
        <w:lastRenderedPageBreak/>
        <w:t xml:space="preserve">In the case of Reserve, the </w:t>
      </w:r>
      <w:r>
        <w:rPr>
          <w:rFonts w:ascii="Times New Roman" w:hAnsi="Times New Roman" w:cs="Times New Roman"/>
          <w:sz w:val="24"/>
          <w:szCs w:val="24"/>
        </w:rPr>
        <w:t xml:space="preserve">Court held </w:t>
      </w:r>
      <w:r w:rsidRPr="0036725A">
        <w:rPr>
          <w:rFonts w:ascii="Times New Roman" w:hAnsi="Times New Roman" w:cs="Times New Roman"/>
          <w:sz w:val="24"/>
          <w:szCs w:val="24"/>
        </w:rPr>
        <w:t xml:space="preserve">that </w:t>
      </w:r>
      <w:r>
        <w:rPr>
          <w:rFonts w:ascii="Times New Roman" w:hAnsi="Times New Roman" w:cs="Times New Roman"/>
          <w:sz w:val="24"/>
          <w:szCs w:val="24"/>
        </w:rPr>
        <w:t xml:space="preserve">the policy </w:t>
      </w:r>
      <w:r w:rsidRPr="0036725A">
        <w:rPr>
          <w:rFonts w:ascii="Times New Roman" w:hAnsi="Times New Roman" w:cs="Times New Roman"/>
          <w:sz w:val="24"/>
          <w:szCs w:val="24"/>
        </w:rPr>
        <w:t xml:space="preserve">being issued was for pollution </w:t>
      </w:r>
      <w:r>
        <w:rPr>
          <w:rFonts w:ascii="Times New Roman" w:hAnsi="Times New Roman" w:cs="Times New Roman"/>
          <w:sz w:val="24"/>
          <w:szCs w:val="24"/>
        </w:rPr>
        <w:t xml:space="preserve">liability </w:t>
      </w:r>
      <w:r w:rsidRPr="0036725A">
        <w:rPr>
          <w:rFonts w:ascii="Times New Roman" w:hAnsi="Times New Roman" w:cs="Times New Roman"/>
          <w:sz w:val="24"/>
          <w:szCs w:val="24"/>
        </w:rPr>
        <w:t>with respect to an insured located in a</w:t>
      </w:r>
      <w:r>
        <w:rPr>
          <w:rFonts w:ascii="Times New Roman" w:hAnsi="Times New Roman" w:cs="Times New Roman"/>
          <w:sz w:val="24"/>
          <w:szCs w:val="24"/>
        </w:rPr>
        <w:t xml:space="preserve"> designed </w:t>
      </w:r>
      <w:r w:rsidRPr="0036725A">
        <w:rPr>
          <w:rFonts w:ascii="Times New Roman" w:hAnsi="Times New Roman" w:cs="Times New Roman"/>
          <w:sz w:val="24"/>
          <w:szCs w:val="24"/>
        </w:rPr>
        <w:t xml:space="preserve">Superfund Site, </w:t>
      </w:r>
      <w:r>
        <w:rPr>
          <w:rFonts w:ascii="Times New Roman" w:hAnsi="Times New Roman" w:cs="Times New Roman"/>
          <w:sz w:val="24"/>
          <w:szCs w:val="24"/>
        </w:rPr>
        <w:t xml:space="preserve">where contaminated equipment originating from mines which also were contaminated, </w:t>
      </w:r>
      <w:r w:rsidRPr="0036725A">
        <w:rPr>
          <w:rFonts w:ascii="Times New Roman" w:hAnsi="Times New Roman" w:cs="Times New Roman"/>
          <w:sz w:val="24"/>
          <w:szCs w:val="24"/>
        </w:rPr>
        <w:t>was repair</w:t>
      </w:r>
      <w:r>
        <w:rPr>
          <w:rFonts w:ascii="Times New Roman" w:hAnsi="Times New Roman" w:cs="Times New Roman"/>
          <w:sz w:val="24"/>
          <w:szCs w:val="24"/>
        </w:rPr>
        <w:t xml:space="preserve">ed </w:t>
      </w:r>
      <w:r w:rsidRPr="0036725A">
        <w:rPr>
          <w:rFonts w:ascii="Times New Roman" w:hAnsi="Times New Roman" w:cs="Times New Roman"/>
          <w:sz w:val="24"/>
          <w:szCs w:val="24"/>
        </w:rPr>
        <w:t>and rehabb</w:t>
      </w:r>
      <w:r>
        <w:rPr>
          <w:rFonts w:ascii="Times New Roman" w:hAnsi="Times New Roman" w:cs="Times New Roman"/>
          <w:sz w:val="24"/>
          <w:szCs w:val="24"/>
        </w:rPr>
        <w:t>ed</w:t>
      </w:r>
      <w:r w:rsidRPr="0036725A">
        <w:rPr>
          <w:rFonts w:ascii="Times New Roman" w:hAnsi="Times New Roman" w:cs="Times New Roman"/>
          <w:sz w:val="24"/>
          <w:szCs w:val="24"/>
        </w:rPr>
        <w:t xml:space="preserve">, was </w:t>
      </w:r>
      <w:r w:rsidRPr="00DC3BA2">
        <w:rPr>
          <w:rFonts w:ascii="Times New Roman" w:hAnsi="Times New Roman" w:cs="Times New Roman"/>
          <w:i/>
          <w:sz w:val="24"/>
          <w:szCs w:val="24"/>
        </w:rPr>
        <w:t xml:space="preserve">insufficient </w:t>
      </w:r>
      <w:r w:rsidRPr="0036725A">
        <w:rPr>
          <w:rFonts w:ascii="Times New Roman" w:hAnsi="Times New Roman" w:cs="Times New Roman"/>
          <w:sz w:val="24"/>
          <w:szCs w:val="24"/>
        </w:rPr>
        <w:t xml:space="preserve">evidence for the </w:t>
      </w:r>
      <w:r>
        <w:rPr>
          <w:rFonts w:ascii="Times New Roman" w:hAnsi="Times New Roman" w:cs="Times New Roman"/>
          <w:sz w:val="24"/>
          <w:szCs w:val="24"/>
        </w:rPr>
        <w:t xml:space="preserve">pollution liability </w:t>
      </w:r>
      <w:r w:rsidRPr="0036725A">
        <w:rPr>
          <w:rFonts w:ascii="Times New Roman" w:hAnsi="Times New Roman" w:cs="Times New Roman"/>
          <w:sz w:val="24"/>
          <w:szCs w:val="24"/>
        </w:rPr>
        <w:t xml:space="preserve">contract issued by Reserve to be considered insurance.  </w:t>
      </w:r>
      <w:r>
        <w:rPr>
          <w:rFonts w:ascii="Times New Roman" w:hAnsi="Times New Roman" w:cs="Times New Roman"/>
          <w:sz w:val="24"/>
          <w:szCs w:val="24"/>
        </w:rPr>
        <w:t xml:space="preserve">The fact that the coverage extended to the property owner, RocQuest as one of the Peak insureds, as an additional named insured was similarly of no consequence.  </w:t>
      </w:r>
      <w:r w:rsidRPr="0036725A">
        <w:rPr>
          <w:rFonts w:ascii="Times New Roman" w:hAnsi="Times New Roman" w:cs="Times New Roman"/>
          <w:sz w:val="24"/>
          <w:szCs w:val="24"/>
        </w:rPr>
        <w:t xml:space="preserve">This does not bode well for a business wishing to insure against fire (does the physical plant have to first burn down?) or against the death </w:t>
      </w:r>
      <w:r>
        <w:rPr>
          <w:rFonts w:ascii="Times New Roman" w:hAnsi="Times New Roman" w:cs="Times New Roman"/>
          <w:sz w:val="24"/>
          <w:szCs w:val="24"/>
        </w:rPr>
        <w:t xml:space="preserve">or disability </w:t>
      </w:r>
      <w:r w:rsidRPr="0036725A">
        <w:rPr>
          <w:rFonts w:ascii="Times New Roman" w:hAnsi="Times New Roman" w:cs="Times New Roman"/>
          <w:sz w:val="24"/>
          <w:szCs w:val="24"/>
        </w:rPr>
        <w:t>of a key person (does the measured life have to die or become disabled before the policy can be purchased</w:t>
      </w:r>
      <w:r>
        <w:rPr>
          <w:rFonts w:ascii="Times New Roman" w:hAnsi="Times New Roman" w:cs="Times New Roman"/>
          <w:sz w:val="24"/>
          <w:szCs w:val="24"/>
        </w:rPr>
        <w:t>)</w:t>
      </w:r>
      <w:r w:rsidRPr="0036725A">
        <w:rPr>
          <w:rFonts w:ascii="Times New Roman" w:hAnsi="Times New Roman" w:cs="Times New Roman"/>
          <w:sz w:val="24"/>
          <w:szCs w:val="24"/>
        </w:rPr>
        <w:t xml:space="preserve">, making </w:t>
      </w:r>
      <w:r>
        <w:rPr>
          <w:rFonts w:ascii="Times New Roman" w:hAnsi="Times New Roman" w:cs="Times New Roman"/>
          <w:sz w:val="24"/>
          <w:szCs w:val="24"/>
        </w:rPr>
        <w:t>the result unachievable.</w:t>
      </w:r>
    </w:p>
    <w:p w14:paraId="023DD55A" w14:textId="77777777" w:rsidR="00250577" w:rsidRPr="0036725A" w:rsidRDefault="00250577" w:rsidP="00B40FCC">
      <w:pPr>
        <w:spacing w:after="0" w:line="240" w:lineRule="auto"/>
        <w:rPr>
          <w:rFonts w:ascii="Times New Roman" w:hAnsi="Times New Roman" w:cs="Times New Roman"/>
          <w:sz w:val="24"/>
          <w:szCs w:val="24"/>
        </w:rPr>
      </w:pPr>
    </w:p>
    <w:p w14:paraId="192E8602" w14:textId="5B87D935" w:rsidR="00250577" w:rsidRDefault="00250577" w:rsidP="00B40F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Among </w:t>
      </w:r>
      <w:r w:rsidRPr="0036725A">
        <w:rPr>
          <w:rFonts w:ascii="Times New Roman" w:hAnsi="Times New Roman" w:cs="Times New Roman"/>
          <w:sz w:val="24"/>
          <w:szCs w:val="24"/>
        </w:rPr>
        <w:t xml:space="preserve">the </w:t>
      </w:r>
      <w:r>
        <w:rPr>
          <w:rFonts w:ascii="Times New Roman" w:hAnsi="Times New Roman" w:cs="Times New Roman"/>
          <w:sz w:val="24"/>
          <w:szCs w:val="24"/>
        </w:rPr>
        <w:t xml:space="preserve">other </w:t>
      </w:r>
      <w:r w:rsidRPr="0036725A">
        <w:rPr>
          <w:rFonts w:ascii="Times New Roman" w:hAnsi="Times New Roman" w:cs="Times New Roman"/>
          <w:sz w:val="24"/>
          <w:szCs w:val="24"/>
        </w:rPr>
        <w:t xml:space="preserve">policies issued by Reserve to Peak was </w:t>
      </w:r>
      <w:r>
        <w:rPr>
          <w:rFonts w:ascii="Times New Roman" w:hAnsi="Times New Roman" w:cs="Times New Roman"/>
          <w:sz w:val="24"/>
          <w:szCs w:val="24"/>
        </w:rPr>
        <w:t xml:space="preserve">a policy </w:t>
      </w:r>
      <w:r w:rsidRPr="0036725A">
        <w:rPr>
          <w:rFonts w:ascii="Times New Roman" w:hAnsi="Times New Roman" w:cs="Times New Roman"/>
          <w:sz w:val="24"/>
          <w:szCs w:val="24"/>
        </w:rPr>
        <w:t xml:space="preserve">to insure against the loss of a major customer.  </w:t>
      </w:r>
      <w:r>
        <w:rPr>
          <w:rFonts w:ascii="Times New Roman" w:hAnsi="Times New Roman" w:cs="Times New Roman"/>
          <w:sz w:val="24"/>
          <w:szCs w:val="24"/>
        </w:rPr>
        <w:t>Such a loss actually</w:t>
      </w:r>
      <w:r w:rsidRPr="0036725A">
        <w:rPr>
          <w:rFonts w:ascii="Times New Roman" w:hAnsi="Times New Roman" w:cs="Times New Roman"/>
          <w:sz w:val="24"/>
          <w:szCs w:val="24"/>
        </w:rPr>
        <w:t xml:space="preserve"> occurred </w:t>
      </w:r>
      <w:r>
        <w:rPr>
          <w:rFonts w:ascii="Times New Roman" w:hAnsi="Times New Roman" w:cs="Times New Roman"/>
          <w:sz w:val="24"/>
          <w:szCs w:val="24"/>
        </w:rPr>
        <w:t xml:space="preserve">to Peak </w:t>
      </w:r>
      <w:r w:rsidRPr="0036725A">
        <w:rPr>
          <w:rFonts w:ascii="Times New Roman" w:hAnsi="Times New Roman" w:cs="Times New Roman"/>
          <w:sz w:val="24"/>
          <w:szCs w:val="24"/>
        </w:rPr>
        <w:t>within the first year</w:t>
      </w:r>
      <w:r>
        <w:rPr>
          <w:rFonts w:ascii="Times New Roman" w:hAnsi="Times New Roman" w:cs="Times New Roman"/>
          <w:sz w:val="24"/>
          <w:szCs w:val="24"/>
        </w:rPr>
        <w:t xml:space="preserve"> </w:t>
      </w:r>
      <w:r w:rsidRPr="0036725A">
        <w:rPr>
          <w:rFonts w:ascii="Times New Roman" w:hAnsi="Times New Roman" w:cs="Times New Roman"/>
          <w:sz w:val="24"/>
          <w:szCs w:val="24"/>
        </w:rPr>
        <w:t xml:space="preserve">of Reserve’s operations. The </w:t>
      </w:r>
      <w:r>
        <w:rPr>
          <w:rFonts w:ascii="Times New Roman" w:hAnsi="Times New Roman" w:cs="Times New Roman"/>
          <w:sz w:val="24"/>
          <w:szCs w:val="24"/>
        </w:rPr>
        <w:t>C</w:t>
      </w:r>
      <w:r w:rsidRPr="0036725A">
        <w:rPr>
          <w:rFonts w:ascii="Times New Roman" w:hAnsi="Times New Roman" w:cs="Times New Roman"/>
          <w:sz w:val="24"/>
          <w:szCs w:val="24"/>
        </w:rPr>
        <w:t xml:space="preserve">ourt held that </w:t>
      </w:r>
      <w:r>
        <w:rPr>
          <w:rFonts w:ascii="Times New Roman" w:hAnsi="Times New Roman" w:cs="Times New Roman"/>
          <w:sz w:val="24"/>
          <w:szCs w:val="24"/>
        </w:rPr>
        <w:t xml:space="preserve">Reserve’s </w:t>
      </w:r>
      <w:r w:rsidRPr="0036725A">
        <w:rPr>
          <w:rFonts w:ascii="Times New Roman" w:hAnsi="Times New Roman" w:cs="Times New Roman"/>
          <w:sz w:val="24"/>
          <w:szCs w:val="24"/>
        </w:rPr>
        <w:t xml:space="preserve">paying a $339,820 </w:t>
      </w:r>
      <w:r>
        <w:rPr>
          <w:rFonts w:ascii="Times New Roman" w:hAnsi="Times New Roman" w:cs="Times New Roman"/>
          <w:sz w:val="24"/>
          <w:szCs w:val="24"/>
        </w:rPr>
        <w:t xml:space="preserve">payment on a </w:t>
      </w:r>
      <w:r w:rsidRPr="0036725A">
        <w:rPr>
          <w:rFonts w:ascii="Times New Roman" w:hAnsi="Times New Roman" w:cs="Times New Roman"/>
          <w:sz w:val="24"/>
          <w:szCs w:val="24"/>
        </w:rPr>
        <w:t xml:space="preserve">claim – apparently because </w:t>
      </w:r>
      <w:r>
        <w:rPr>
          <w:rFonts w:ascii="Times New Roman" w:hAnsi="Times New Roman" w:cs="Times New Roman"/>
          <w:sz w:val="24"/>
          <w:szCs w:val="24"/>
        </w:rPr>
        <w:t xml:space="preserve">a similar loss </w:t>
      </w:r>
      <w:r w:rsidRPr="0036725A">
        <w:rPr>
          <w:rFonts w:ascii="Times New Roman" w:hAnsi="Times New Roman" w:cs="Times New Roman"/>
          <w:sz w:val="24"/>
          <w:szCs w:val="24"/>
        </w:rPr>
        <w:t xml:space="preserve">hadn’t previously been reported – also was not sufficient for the policy </w:t>
      </w:r>
      <w:r>
        <w:rPr>
          <w:rFonts w:ascii="Times New Roman" w:hAnsi="Times New Roman" w:cs="Times New Roman"/>
          <w:sz w:val="24"/>
          <w:szCs w:val="24"/>
        </w:rPr>
        <w:t xml:space="preserve">issued by Reserve </w:t>
      </w:r>
      <w:r w:rsidRPr="0036725A">
        <w:rPr>
          <w:rFonts w:ascii="Times New Roman" w:hAnsi="Times New Roman" w:cs="Times New Roman"/>
          <w:sz w:val="24"/>
          <w:szCs w:val="24"/>
        </w:rPr>
        <w:t>to be considered “insurance</w:t>
      </w:r>
      <w:r>
        <w:rPr>
          <w:rFonts w:ascii="Times New Roman" w:hAnsi="Times New Roman" w:cs="Times New Roman"/>
          <w:sz w:val="24"/>
          <w:szCs w:val="24"/>
        </w:rPr>
        <w:t>”</w:t>
      </w:r>
      <w:r w:rsidRPr="0036725A">
        <w:rPr>
          <w:rFonts w:ascii="Times New Roman" w:hAnsi="Times New Roman" w:cs="Times New Roman"/>
          <w:sz w:val="24"/>
          <w:szCs w:val="24"/>
        </w:rPr>
        <w:t xml:space="preserve">.   See also July 9, 2018 Commentary on Policy Pricing, which can be found </w:t>
      </w:r>
      <w:hyperlink r:id="rId18" w:history="1">
        <w:r w:rsidRPr="0036725A">
          <w:rPr>
            <w:rStyle w:val="Hyperlink"/>
            <w:rFonts w:ascii="Times New Roman" w:hAnsi="Times New Roman" w:cs="Times New Roman"/>
            <w:sz w:val="24"/>
            <w:szCs w:val="24"/>
          </w:rPr>
          <w:t>here</w:t>
        </w:r>
      </w:hyperlink>
      <w:r w:rsidRPr="0036725A">
        <w:rPr>
          <w:rFonts w:ascii="Times New Roman" w:hAnsi="Times New Roman" w:cs="Times New Roman"/>
          <w:sz w:val="24"/>
          <w:szCs w:val="24"/>
        </w:rPr>
        <w:t>.</w:t>
      </w:r>
    </w:p>
    <w:p w14:paraId="28D7C9EE" w14:textId="77777777" w:rsidR="00250577" w:rsidRDefault="00250577" w:rsidP="00913B0F">
      <w:pPr>
        <w:spacing w:after="0" w:line="240" w:lineRule="auto"/>
        <w:rPr>
          <w:rFonts w:ascii="Times New Roman" w:hAnsi="Times New Roman" w:cs="Times New Roman"/>
          <w:sz w:val="24"/>
          <w:szCs w:val="24"/>
        </w:rPr>
      </w:pPr>
    </w:p>
    <w:p w14:paraId="796A79B6" w14:textId="0F09F31D" w:rsidR="00250577" w:rsidRDefault="00250577" w:rsidP="00756C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of the polices directly underwritten by Reserve covered risks directly related to Peak’s business.  For example, the Regulatory Changes policy covered losses flowing from </w:t>
      </w:r>
      <w:r w:rsidRPr="00CD7CB8">
        <w:rPr>
          <w:rFonts w:ascii="Times New Roman" w:hAnsi="Times New Roman" w:cs="Times New Roman"/>
          <w:sz w:val="24"/>
          <w:szCs w:val="24"/>
        </w:rPr>
        <w:t>adverse</w:t>
      </w:r>
      <w:r>
        <w:rPr>
          <w:rFonts w:ascii="Times New Roman" w:hAnsi="Times New Roman" w:cs="Times New Roman"/>
          <w:sz w:val="24"/>
          <w:szCs w:val="24"/>
        </w:rPr>
        <w:t xml:space="preserve"> changes in </w:t>
      </w:r>
      <w:r w:rsidRPr="00CD7CB8">
        <w:rPr>
          <w:rFonts w:ascii="Times New Roman" w:hAnsi="Times New Roman" w:cs="Times New Roman"/>
          <w:sz w:val="24"/>
          <w:szCs w:val="24"/>
        </w:rPr>
        <w:t>regulat</w:t>
      </w:r>
      <w:r>
        <w:rPr>
          <w:rFonts w:ascii="Times New Roman" w:hAnsi="Times New Roman" w:cs="Times New Roman"/>
          <w:sz w:val="24"/>
          <w:szCs w:val="24"/>
        </w:rPr>
        <w:t xml:space="preserve">ions.  </w:t>
      </w:r>
      <w:r w:rsidRPr="00756C64">
        <w:rPr>
          <w:rFonts w:ascii="Times New Roman" w:hAnsi="Times New Roman" w:cs="Times New Roman"/>
          <w:sz w:val="24"/>
          <w:szCs w:val="24"/>
        </w:rPr>
        <w:t xml:space="preserve">Because </w:t>
      </w:r>
      <w:r>
        <w:rPr>
          <w:rFonts w:ascii="Times New Roman" w:hAnsi="Times New Roman" w:cs="Times New Roman"/>
          <w:sz w:val="24"/>
          <w:szCs w:val="24"/>
        </w:rPr>
        <w:t>Peak’s</w:t>
      </w:r>
      <w:r w:rsidRPr="00756C64">
        <w:rPr>
          <w:rFonts w:ascii="Times New Roman" w:hAnsi="Times New Roman" w:cs="Times New Roman"/>
          <w:sz w:val="24"/>
          <w:szCs w:val="24"/>
        </w:rPr>
        <w:t xml:space="preserve"> products </w:t>
      </w:r>
      <w:r>
        <w:rPr>
          <w:rFonts w:ascii="Times New Roman" w:hAnsi="Times New Roman" w:cs="Times New Roman"/>
          <w:sz w:val="24"/>
          <w:szCs w:val="24"/>
        </w:rPr>
        <w:t>were</w:t>
      </w:r>
      <w:r w:rsidRPr="00756C64">
        <w:rPr>
          <w:rFonts w:ascii="Times New Roman" w:hAnsi="Times New Roman" w:cs="Times New Roman"/>
          <w:sz w:val="24"/>
          <w:szCs w:val="24"/>
        </w:rPr>
        <w:t xml:space="preserve"> </w:t>
      </w:r>
      <w:r>
        <w:rPr>
          <w:rFonts w:ascii="Times New Roman" w:hAnsi="Times New Roman" w:cs="Times New Roman"/>
          <w:sz w:val="24"/>
          <w:szCs w:val="24"/>
        </w:rPr>
        <w:t xml:space="preserve">focused on </w:t>
      </w:r>
      <w:r w:rsidRPr="00756C64">
        <w:rPr>
          <w:rFonts w:ascii="Times New Roman" w:hAnsi="Times New Roman" w:cs="Times New Roman"/>
          <w:sz w:val="24"/>
          <w:szCs w:val="24"/>
        </w:rPr>
        <w:t xml:space="preserve">the </w:t>
      </w:r>
      <w:r>
        <w:rPr>
          <w:rFonts w:ascii="Times New Roman" w:hAnsi="Times New Roman" w:cs="Times New Roman"/>
          <w:sz w:val="24"/>
          <w:szCs w:val="24"/>
        </w:rPr>
        <w:t xml:space="preserve">heavily regulated </w:t>
      </w:r>
      <w:r w:rsidRPr="00756C64">
        <w:rPr>
          <w:rFonts w:ascii="Times New Roman" w:hAnsi="Times New Roman" w:cs="Times New Roman"/>
          <w:sz w:val="24"/>
          <w:szCs w:val="24"/>
        </w:rPr>
        <w:t xml:space="preserve">mining industry, Peak </w:t>
      </w:r>
      <w:r>
        <w:rPr>
          <w:rFonts w:ascii="Times New Roman" w:hAnsi="Times New Roman" w:cs="Times New Roman"/>
          <w:sz w:val="24"/>
          <w:szCs w:val="24"/>
        </w:rPr>
        <w:t xml:space="preserve">was at risk and </w:t>
      </w:r>
      <w:r w:rsidRPr="00756C64">
        <w:rPr>
          <w:rFonts w:ascii="Times New Roman" w:hAnsi="Times New Roman" w:cs="Times New Roman"/>
          <w:sz w:val="24"/>
          <w:szCs w:val="24"/>
        </w:rPr>
        <w:t xml:space="preserve">directly affected by regulatory and legislative </w:t>
      </w:r>
      <w:r>
        <w:rPr>
          <w:rFonts w:ascii="Times New Roman" w:hAnsi="Times New Roman" w:cs="Times New Roman"/>
          <w:sz w:val="24"/>
          <w:szCs w:val="24"/>
        </w:rPr>
        <w:t xml:space="preserve">changes.  </w:t>
      </w:r>
    </w:p>
    <w:p w14:paraId="04CC3B8C" w14:textId="77777777" w:rsidR="00250577" w:rsidRPr="0036725A" w:rsidRDefault="00250577" w:rsidP="00913B0F">
      <w:pPr>
        <w:spacing w:after="0" w:line="240" w:lineRule="auto"/>
        <w:rPr>
          <w:rFonts w:ascii="Times New Roman" w:hAnsi="Times New Roman" w:cs="Times New Roman"/>
          <w:sz w:val="24"/>
          <w:szCs w:val="24"/>
        </w:rPr>
      </w:pPr>
    </w:p>
    <w:p w14:paraId="2A152A39" w14:textId="188D1092" w:rsidR="00250577" w:rsidRDefault="00250577" w:rsidP="00913B0F">
      <w:pPr>
        <w:spacing w:after="0" w:line="240" w:lineRule="auto"/>
        <w:rPr>
          <w:rFonts w:ascii="Times New Roman" w:hAnsi="Times New Roman" w:cs="Times New Roman"/>
          <w:sz w:val="24"/>
          <w:szCs w:val="24"/>
        </w:rPr>
      </w:pPr>
      <w:r w:rsidRPr="0036725A">
        <w:rPr>
          <w:rFonts w:ascii="Times New Roman" w:hAnsi="Times New Roman" w:cs="Times New Roman"/>
          <w:sz w:val="24"/>
          <w:szCs w:val="24"/>
        </w:rPr>
        <w:t xml:space="preserve">The </w:t>
      </w:r>
      <w:r>
        <w:rPr>
          <w:rFonts w:ascii="Times New Roman" w:hAnsi="Times New Roman" w:cs="Times New Roman"/>
          <w:sz w:val="24"/>
          <w:szCs w:val="24"/>
        </w:rPr>
        <w:t>Court</w:t>
      </w:r>
      <w:r w:rsidRPr="0036725A">
        <w:rPr>
          <w:rFonts w:ascii="Times New Roman" w:hAnsi="Times New Roman" w:cs="Times New Roman"/>
          <w:sz w:val="24"/>
          <w:szCs w:val="24"/>
        </w:rPr>
        <w:t xml:space="preserve"> also did not </w:t>
      </w:r>
      <w:r>
        <w:rPr>
          <w:rFonts w:ascii="Times New Roman" w:hAnsi="Times New Roman" w:cs="Times New Roman"/>
          <w:sz w:val="24"/>
          <w:szCs w:val="24"/>
        </w:rPr>
        <w:t xml:space="preserve">attempt to </w:t>
      </w:r>
      <w:r w:rsidRPr="0036725A">
        <w:rPr>
          <w:rFonts w:ascii="Times New Roman" w:hAnsi="Times New Roman" w:cs="Times New Roman"/>
          <w:sz w:val="24"/>
          <w:szCs w:val="24"/>
        </w:rPr>
        <w:t xml:space="preserve">square this </w:t>
      </w:r>
      <w:r>
        <w:rPr>
          <w:rFonts w:ascii="Times New Roman" w:hAnsi="Times New Roman" w:cs="Times New Roman"/>
          <w:sz w:val="24"/>
          <w:szCs w:val="24"/>
        </w:rPr>
        <w:t xml:space="preserve">newly announced dictate of a history of past losses with </w:t>
      </w:r>
      <w:r w:rsidRPr="0036725A">
        <w:rPr>
          <w:rFonts w:ascii="Times New Roman" w:hAnsi="Times New Roman" w:cs="Times New Roman"/>
          <w:sz w:val="24"/>
          <w:szCs w:val="24"/>
        </w:rPr>
        <w:t xml:space="preserve">the “fortuitous risk” of loss concept inherent in insurance </w:t>
      </w:r>
      <w:r>
        <w:rPr>
          <w:rFonts w:ascii="Times New Roman" w:hAnsi="Times New Roman" w:cs="Times New Roman"/>
          <w:sz w:val="24"/>
          <w:szCs w:val="24"/>
        </w:rPr>
        <w:t>that</w:t>
      </w:r>
      <w:r w:rsidRPr="0036725A">
        <w:rPr>
          <w:rFonts w:ascii="Times New Roman" w:hAnsi="Times New Roman" w:cs="Times New Roman"/>
          <w:sz w:val="24"/>
          <w:szCs w:val="24"/>
        </w:rPr>
        <w:t xml:space="preserve"> had been the focus of courts </w:t>
      </w:r>
      <w:r>
        <w:rPr>
          <w:rFonts w:ascii="Times New Roman" w:hAnsi="Times New Roman" w:cs="Times New Roman"/>
          <w:sz w:val="24"/>
          <w:szCs w:val="24"/>
        </w:rPr>
        <w:t>for decades</w:t>
      </w:r>
      <w:r w:rsidRPr="0036725A">
        <w:rPr>
          <w:rFonts w:ascii="Times New Roman" w:hAnsi="Times New Roman" w:cs="Times New Roman"/>
          <w:sz w:val="24"/>
          <w:szCs w:val="24"/>
        </w:rPr>
        <w:t>.</w:t>
      </w:r>
      <w:r w:rsidRPr="0036725A">
        <w:rPr>
          <w:rStyle w:val="EndnoteReference"/>
          <w:rFonts w:ascii="Times New Roman" w:hAnsi="Times New Roman" w:cs="Times New Roman"/>
          <w:sz w:val="24"/>
          <w:szCs w:val="24"/>
        </w:rPr>
        <w:endnoteReference w:id="167"/>
      </w:r>
      <w:r w:rsidRPr="0036725A">
        <w:rPr>
          <w:rFonts w:ascii="Times New Roman" w:hAnsi="Times New Roman" w:cs="Times New Roman"/>
          <w:sz w:val="24"/>
          <w:szCs w:val="24"/>
        </w:rPr>
        <w:t xml:space="preserve">  The </w:t>
      </w:r>
      <w:r>
        <w:rPr>
          <w:rFonts w:ascii="Times New Roman" w:hAnsi="Times New Roman" w:cs="Times New Roman"/>
          <w:sz w:val="24"/>
          <w:szCs w:val="24"/>
        </w:rPr>
        <w:t>Court</w:t>
      </w:r>
      <w:r w:rsidRPr="0036725A">
        <w:rPr>
          <w:rFonts w:ascii="Times New Roman" w:hAnsi="Times New Roman" w:cs="Times New Roman"/>
          <w:sz w:val="24"/>
          <w:szCs w:val="24"/>
        </w:rPr>
        <w:t xml:space="preserve"> did not reconcile this concept of requiring an “actual loss history” with the </w:t>
      </w:r>
      <w:r>
        <w:rPr>
          <w:rFonts w:ascii="Times New Roman" w:hAnsi="Times New Roman" w:cs="Times New Roman"/>
          <w:sz w:val="24"/>
          <w:szCs w:val="24"/>
        </w:rPr>
        <w:t xml:space="preserve">settled </w:t>
      </w:r>
      <w:r w:rsidRPr="0036725A">
        <w:rPr>
          <w:rFonts w:ascii="Times New Roman" w:hAnsi="Times New Roman" w:cs="Times New Roman"/>
          <w:sz w:val="24"/>
          <w:szCs w:val="24"/>
        </w:rPr>
        <w:t xml:space="preserve">concept (established by prior case law) that, once a loss is certain, a contract </w:t>
      </w:r>
      <w:r>
        <w:rPr>
          <w:rFonts w:ascii="Times New Roman" w:hAnsi="Times New Roman" w:cs="Times New Roman"/>
          <w:sz w:val="24"/>
          <w:szCs w:val="24"/>
        </w:rPr>
        <w:t xml:space="preserve">is not </w:t>
      </w:r>
      <w:r w:rsidRPr="0036725A">
        <w:rPr>
          <w:rFonts w:ascii="Times New Roman" w:hAnsi="Times New Roman" w:cs="Times New Roman"/>
          <w:sz w:val="24"/>
          <w:szCs w:val="24"/>
        </w:rPr>
        <w:t>“insurance” due to the fact that the “fortuitousness” is no longer an issue.</w:t>
      </w:r>
      <w:r>
        <w:rPr>
          <w:rStyle w:val="EndnoteReference"/>
          <w:rFonts w:ascii="Times New Roman" w:hAnsi="Times New Roman" w:cs="Times New Roman"/>
          <w:sz w:val="24"/>
          <w:szCs w:val="24"/>
        </w:rPr>
        <w:endnoteReference w:id="168"/>
      </w:r>
      <w:r>
        <w:rPr>
          <w:rFonts w:ascii="Times New Roman" w:hAnsi="Times New Roman" w:cs="Times New Roman"/>
          <w:sz w:val="24"/>
          <w:szCs w:val="24"/>
        </w:rPr>
        <w:t xml:space="preserve">  </w:t>
      </w:r>
      <w:r w:rsidRPr="0036725A">
        <w:rPr>
          <w:rFonts w:ascii="Times New Roman" w:hAnsi="Times New Roman" w:cs="Times New Roman"/>
          <w:sz w:val="24"/>
          <w:szCs w:val="24"/>
        </w:rPr>
        <w:t xml:space="preserve">Thus, apparently to this </w:t>
      </w:r>
      <w:r>
        <w:rPr>
          <w:rFonts w:ascii="Times New Roman" w:hAnsi="Times New Roman" w:cs="Times New Roman"/>
          <w:sz w:val="24"/>
          <w:szCs w:val="24"/>
        </w:rPr>
        <w:t>Court</w:t>
      </w:r>
      <w:r w:rsidRPr="0036725A">
        <w:rPr>
          <w:rFonts w:ascii="Times New Roman" w:hAnsi="Times New Roman" w:cs="Times New Roman"/>
          <w:sz w:val="24"/>
          <w:szCs w:val="24"/>
        </w:rPr>
        <w:t xml:space="preserve">, a risk must have already occurred so as to create a history of losses, </w:t>
      </w:r>
      <w:r>
        <w:rPr>
          <w:rFonts w:ascii="Times New Roman" w:hAnsi="Times New Roman" w:cs="Times New Roman"/>
          <w:sz w:val="24"/>
          <w:szCs w:val="24"/>
        </w:rPr>
        <w:t>with the insurance then being written to cover future losses of a similar nature.  Again, t</w:t>
      </w:r>
      <w:r w:rsidRPr="00AE2605">
        <w:rPr>
          <w:rFonts w:ascii="Times New Roman" w:hAnsi="Times New Roman" w:cs="Times New Roman"/>
          <w:sz w:val="24"/>
          <w:szCs w:val="24"/>
        </w:rPr>
        <w:t>he Court provides no citation to case authority for this newly announced radical concept</w:t>
      </w:r>
      <w:r>
        <w:rPr>
          <w:rFonts w:ascii="Times New Roman" w:hAnsi="Times New Roman" w:cs="Times New Roman"/>
          <w:sz w:val="24"/>
          <w:szCs w:val="24"/>
        </w:rPr>
        <w:t xml:space="preserve">, requiring </w:t>
      </w:r>
      <w:r w:rsidRPr="00AE2605">
        <w:rPr>
          <w:rFonts w:ascii="Times New Roman" w:hAnsi="Times New Roman" w:cs="Times New Roman"/>
          <w:sz w:val="24"/>
          <w:szCs w:val="24"/>
        </w:rPr>
        <w:t>a captive insurer to thread a needle</w:t>
      </w:r>
      <w:r>
        <w:rPr>
          <w:rFonts w:ascii="Times New Roman" w:hAnsi="Times New Roman" w:cs="Times New Roman"/>
          <w:sz w:val="24"/>
          <w:szCs w:val="24"/>
        </w:rPr>
        <w:t>.</w:t>
      </w:r>
    </w:p>
    <w:p w14:paraId="0901A7AC" w14:textId="77777777" w:rsidR="00250577" w:rsidRPr="0036725A" w:rsidRDefault="00250577" w:rsidP="00913B0F">
      <w:pPr>
        <w:spacing w:after="0" w:line="240" w:lineRule="auto"/>
        <w:rPr>
          <w:rFonts w:ascii="Times New Roman" w:hAnsi="Times New Roman" w:cs="Times New Roman"/>
          <w:sz w:val="24"/>
          <w:szCs w:val="24"/>
        </w:rPr>
      </w:pPr>
    </w:p>
    <w:p w14:paraId="1F8A3898" w14:textId="77777777" w:rsidR="00250577" w:rsidRPr="0036725A" w:rsidRDefault="00250577" w:rsidP="00913B0F">
      <w:pPr>
        <w:spacing w:after="0" w:line="240" w:lineRule="auto"/>
        <w:rPr>
          <w:rFonts w:ascii="Times New Roman" w:hAnsi="Times New Roman" w:cs="Times New Roman"/>
          <w:sz w:val="24"/>
          <w:szCs w:val="24"/>
          <w:u w:val="single"/>
        </w:rPr>
      </w:pPr>
      <w:r w:rsidRPr="0036725A">
        <w:rPr>
          <w:rFonts w:ascii="Times New Roman" w:hAnsi="Times New Roman" w:cs="Times New Roman"/>
          <w:sz w:val="24"/>
          <w:szCs w:val="24"/>
          <w:u w:val="single"/>
        </w:rPr>
        <w:t>C.  Commercial Policies Must First Be Exhausted for a Policy to be Insurance</w:t>
      </w:r>
    </w:p>
    <w:p w14:paraId="5BE7C2C1" w14:textId="3E907988" w:rsidR="00250577" w:rsidRDefault="00250577" w:rsidP="005C63AE">
      <w:pPr>
        <w:spacing w:after="0" w:line="240" w:lineRule="auto"/>
        <w:rPr>
          <w:rFonts w:ascii="Times New Roman" w:hAnsi="Times New Roman" w:cs="Times New Roman"/>
          <w:sz w:val="24"/>
          <w:szCs w:val="24"/>
        </w:rPr>
      </w:pPr>
    </w:p>
    <w:p w14:paraId="542F8F60" w14:textId="76C18315" w:rsidR="00250577" w:rsidRPr="0036725A" w:rsidRDefault="00250577" w:rsidP="005C63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Another newly articulated yet unsupportable </w:t>
      </w:r>
      <w:r w:rsidRPr="0036725A">
        <w:rPr>
          <w:rFonts w:ascii="Times New Roman" w:hAnsi="Times New Roman" w:cs="Times New Roman"/>
          <w:sz w:val="24"/>
          <w:szCs w:val="24"/>
        </w:rPr>
        <w:t xml:space="preserve">standard </w:t>
      </w:r>
      <w:r>
        <w:rPr>
          <w:rFonts w:ascii="Times New Roman" w:hAnsi="Times New Roman" w:cs="Times New Roman"/>
          <w:sz w:val="24"/>
          <w:szCs w:val="24"/>
        </w:rPr>
        <w:t xml:space="preserve">imposed by the </w:t>
      </w:r>
      <w:r w:rsidRPr="0081338F">
        <w:rPr>
          <w:rFonts w:ascii="Times New Roman" w:hAnsi="Times New Roman" w:cs="Times New Roman"/>
          <w:i/>
          <w:sz w:val="24"/>
          <w:szCs w:val="24"/>
        </w:rPr>
        <w:t>Reserve</w:t>
      </w:r>
      <w:r>
        <w:rPr>
          <w:rFonts w:ascii="Times New Roman" w:hAnsi="Times New Roman" w:cs="Times New Roman"/>
          <w:sz w:val="24"/>
          <w:szCs w:val="24"/>
        </w:rPr>
        <w:t xml:space="preserve"> Court is </w:t>
      </w:r>
      <w:r w:rsidRPr="0036725A">
        <w:rPr>
          <w:rFonts w:ascii="Times New Roman" w:hAnsi="Times New Roman" w:cs="Times New Roman"/>
          <w:sz w:val="24"/>
          <w:szCs w:val="24"/>
        </w:rPr>
        <w:t>that</w:t>
      </w:r>
      <w:r>
        <w:rPr>
          <w:rFonts w:ascii="Times New Roman" w:hAnsi="Times New Roman" w:cs="Times New Roman"/>
          <w:sz w:val="24"/>
          <w:szCs w:val="24"/>
        </w:rPr>
        <w:t>,</w:t>
      </w:r>
      <w:r w:rsidRPr="0036725A">
        <w:rPr>
          <w:rFonts w:ascii="Times New Roman" w:hAnsi="Times New Roman" w:cs="Times New Roman"/>
          <w:sz w:val="24"/>
          <w:szCs w:val="24"/>
        </w:rPr>
        <w:t xml:space="preserve"> for an arrangement to be </w:t>
      </w:r>
      <w:r>
        <w:rPr>
          <w:rFonts w:ascii="Times New Roman" w:hAnsi="Times New Roman" w:cs="Times New Roman"/>
          <w:sz w:val="24"/>
          <w:szCs w:val="24"/>
        </w:rPr>
        <w:t xml:space="preserve">(captive) </w:t>
      </w:r>
      <w:r w:rsidRPr="0036725A">
        <w:rPr>
          <w:rFonts w:ascii="Times New Roman" w:hAnsi="Times New Roman" w:cs="Times New Roman"/>
          <w:sz w:val="24"/>
          <w:szCs w:val="24"/>
        </w:rPr>
        <w:t>insurance for federal income tax purposes</w:t>
      </w:r>
      <w:r>
        <w:rPr>
          <w:rFonts w:ascii="Times New Roman" w:hAnsi="Times New Roman" w:cs="Times New Roman"/>
          <w:sz w:val="24"/>
          <w:szCs w:val="24"/>
        </w:rPr>
        <w:t>,</w:t>
      </w:r>
      <w:r w:rsidRPr="0036725A">
        <w:rPr>
          <w:rFonts w:ascii="Times New Roman" w:hAnsi="Times New Roman" w:cs="Times New Roman"/>
          <w:sz w:val="24"/>
          <w:szCs w:val="24"/>
        </w:rPr>
        <w:t xml:space="preserve"> </w:t>
      </w:r>
      <w:r w:rsidRPr="0036725A">
        <w:rPr>
          <w:rFonts w:ascii="Times New Roman" w:hAnsi="Times New Roman" w:cs="Times New Roman"/>
          <w:b/>
          <w:sz w:val="24"/>
          <w:szCs w:val="24"/>
        </w:rPr>
        <w:t>the insureds’ commercial policies must first be exhausted</w:t>
      </w:r>
      <w:r>
        <w:rPr>
          <w:rFonts w:ascii="Times New Roman" w:hAnsi="Times New Roman" w:cs="Times New Roman"/>
          <w:sz w:val="24"/>
          <w:szCs w:val="24"/>
        </w:rPr>
        <w:t>.</w:t>
      </w:r>
      <w:r>
        <w:rPr>
          <w:rFonts w:ascii="Times New Roman" w:hAnsi="Times New Roman" w:cs="Times New Roman"/>
          <w:b/>
          <w:sz w:val="24"/>
          <w:szCs w:val="24"/>
        </w:rPr>
        <w:t xml:space="preserve">  </w:t>
      </w:r>
      <w:r w:rsidRPr="00AE4F2A">
        <w:rPr>
          <w:rFonts w:ascii="Times New Roman" w:hAnsi="Times New Roman" w:cs="Times New Roman"/>
          <w:sz w:val="24"/>
          <w:szCs w:val="24"/>
        </w:rPr>
        <w:t>The Court</w:t>
      </w:r>
      <w:r>
        <w:rPr>
          <w:rFonts w:ascii="Times New Roman" w:hAnsi="Times New Roman" w:cs="Times New Roman"/>
          <w:b/>
          <w:sz w:val="24"/>
          <w:szCs w:val="24"/>
        </w:rPr>
        <w:t xml:space="preserve"> </w:t>
      </w:r>
      <w:r>
        <w:rPr>
          <w:rFonts w:ascii="Times New Roman" w:hAnsi="Times New Roman" w:cs="Times New Roman"/>
          <w:sz w:val="24"/>
          <w:szCs w:val="24"/>
        </w:rPr>
        <w:t xml:space="preserve">erroneously imposed this new standard on Reserve in the Opinion, </w:t>
      </w:r>
      <w:r w:rsidRPr="0036725A">
        <w:rPr>
          <w:rFonts w:ascii="Times New Roman" w:hAnsi="Times New Roman" w:cs="Times New Roman"/>
          <w:sz w:val="24"/>
          <w:szCs w:val="24"/>
        </w:rPr>
        <w:t>stat</w:t>
      </w:r>
      <w:r>
        <w:rPr>
          <w:rFonts w:ascii="Times New Roman" w:hAnsi="Times New Roman" w:cs="Times New Roman"/>
          <w:sz w:val="24"/>
          <w:szCs w:val="24"/>
        </w:rPr>
        <w:t xml:space="preserve">ing </w:t>
      </w:r>
      <w:r w:rsidRPr="0036725A">
        <w:rPr>
          <w:rFonts w:ascii="Times New Roman" w:hAnsi="Times New Roman" w:cs="Times New Roman"/>
          <w:sz w:val="24"/>
          <w:szCs w:val="24"/>
        </w:rPr>
        <w:t xml:space="preserve">at page 60 </w:t>
      </w:r>
      <w:r>
        <w:rPr>
          <w:rFonts w:ascii="Times New Roman" w:hAnsi="Times New Roman" w:cs="Times New Roman"/>
          <w:sz w:val="24"/>
          <w:szCs w:val="24"/>
        </w:rPr>
        <w:t xml:space="preserve">as follows: </w:t>
      </w:r>
    </w:p>
    <w:p w14:paraId="3F9C3988" w14:textId="77777777" w:rsidR="00250577" w:rsidRPr="0036725A" w:rsidRDefault="00250577" w:rsidP="005C63AE">
      <w:pPr>
        <w:spacing w:after="0" w:line="240" w:lineRule="auto"/>
        <w:rPr>
          <w:rFonts w:ascii="Times New Roman" w:hAnsi="Times New Roman" w:cs="Times New Roman"/>
          <w:sz w:val="24"/>
          <w:szCs w:val="24"/>
        </w:rPr>
      </w:pPr>
    </w:p>
    <w:p w14:paraId="6757E035" w14:textId="511C284F" w:rsidR="00250577" w:rsidRDefault="00250577" w:rsidP="003F12D1">
      <w:pPr>
        <w:spacing w:after="0" w:line="240" w:lineRule="auto"/>
        <w:ind w:left="720"/>
        <w:rPr>
          <w:rFonts w:ascii="Times New Roman" w:hAnsi="Times New Roman" w:cs="Times New Roman"/>
          <w:sz w:val="24"/>
          <w:szCs w:val="24"/>
        </w:rPr>
      </w:pPr>
      <w:r w:rsidRPr="0036725A">
        <w:rPr>
          <w:rFonts w:ascii="Times New Roman" w:hAnsi="Times New Roman" w:cs="Times New Roman"/>
          <w:sz w:val="24"/>
          <w:szCs w:val="24"/>
        </w:rPr>
        <w:t xml:space="preserve">“All the direct written policies [written by Reserve] included a provision that the coverage afforded by the policy would be valid only after insurance coverage from other insurers was exhausted. </w:t>
      </w:r>
      <w:r w:rsidRPr="0036725A">
        <w:rPr>
          <w:rFonts w:ascii="Times New Roman" w:hAnsi="Times New Roman" w:cs="Times New Roman"/>
          <w:b/>
          <w:sz w:val="24"/>
          <w:szCs w:val="24"/>
        </w:rPr>
        <w:t>Peak had never come close to exhausting the policy limits of its third-party commercial insurance coverage</w:t>
      </w:r>
      <w:r w:rsidRPr="0036725A">
        <w:rPr>
          <w:rFonts w:ascii="Times New Roman" w:hAnsi="Times New Roman" w:cs="Times New Roman"/>
          <w:sz w:val="24"/>
          <w:szCs w:val="24"/>
        </w:rPr>
        <w:t>.” (Emphasis Added).</w:t>
      </w:r>
    </w:p>
    <w:p w14:paraId="31414E3C" w14:textId="77777777" w:rsidR="00250577" w:rsidRPr="0036725A" w:rsidRDefault="00250577" w:rsidP="005C63AE">
      <w:pPr>
        <w:spacing w:after="0" w:line="240" w:lineRule="auto"/>
        <w:rPr>
          <w:rFonts w:ascii="Times New Roman" w:hAnsi="Times New Roman" w:cs="Times New Roman"/>
          <w:sz w:val="24"/>
          <w:szCs w:val="24"/>
        </w:rPr>
      </w:pPr>
    </w:p>
    <w:p w14:paraId="31632CBD" w14:textId="32AA40DE" w:rsidR="00250577" w:rsidRPr="0036725A" w:rsidRDefault="00250577" w:rsidP="005C63AE">
      <w:pPr>
        <w:spacing w:after="0" w:line="240" w:lineRule="auto"/>
        <w:rPr>
          <w:rFonts w:ascii="Times New Roman" w:hAnsi="Times New Roman" w:cs="Times New Roman"/>
          <w:sz w:val="24"/>
          <w:szCs w:val="24"/>
        </w:rPr>
      </w:pPr>
      <w:r w:rsidRPr="0036725A">
        <w:rPr>
          <w:rFonts w:ascii="Times New Roman" w:hAnsi="Times New Roman" w:cs="Times New Roman"/>
          <w:sz w:val="24"/>
          <w:szCs w:val="24"/>
        </w:rPr>
        <w:lastRenderedPageBreak/>
        <w:t>As discussed</w:t>
      </w:r>
      <w:r>
        <w:rPr>
          <w:rFonts w:ascii="Times New Roman" w:hAnsi="Times New Roman" w:cs="Times New Roman"/>
          <w:sz w:val="24"/>
          <w:szCs w:val="24"/>
        </w:rPr>
        <w:t xml:space="preserve"> above and in the Opinion</w:t>
      </w:r>
      <w:r w:rsidRPr="0036725A">
        <w:rPr>
          <w:rFonts w:ascii="Times New Roman" w:hAnsi="Times New Roman" w:cs="Times New Roman"/>
          <w:sz w:val="24"/>
          <w:szCs w:val="24"/>
        </w:rPr>
        <w:t xml:space="preserve">, </w:t>
      </w:r>
      <w:r w:rsidRPr="00C03D71">
        <w:rPr>
          <w:rFonts w:ascii="Times New Roman" w:hAnsi="Times New Roman" w:cs="Times New Roman"/>
          <w:b/>
          <w:sz w:val="24"/>
          <w:szCs w:val="24"/>
        </w:rPr>
        <w:t>none</w:t>
      </w:r>
      <w:r w:rsidRPr="0036725A">
        <w:rPr>
          <w:rFonts w:ascii="Times New Roman" w:hAnsi="Times New Roman" w:cs="Times New Roman"/>
          <w:sz w:val="24"/>
          <w:szCs w:val="24"/>
        </w:rPr>
        <w:t xml:space="preserve"> of the </w:t>
      </w:r>
      <w:r>
        <w:rPr>
          <w:rFonts w:ascii="Times New Roman" w:hAnsi="Times New Roman" w:cs="Times New Roman"/>
          <w:sz w:val="24"/>
          <w:szCs w:val="24"/>
        </w:rPr>
        <w:t xml:space="preserve">policies jointly underwritten </w:t>
      </w:r>
      <w:r w:rsidRPr="0036725A">
        <w:rPr>
          <w:rFonts w:ascii="Times New Roman" w:hAnsi="Times New Roman" w:cs="Times New Roman"/>
          <w:sz w:val="24"/>
          <w:szCs w:val="24"/>
        </w:rPr>
        <w:t>by Reserve and PoolRe were duplicative of any of Peak’s commercial third-party insurance coverages.  Each of the</w:t>
      </w:r>
      <w:r>
        <w:rPr>
          <w:rFonts w:ascii="Times New Roman" w:hAnsi="Times New Roman" w:cs="Times New Roman"/>
          <w:sz w:val="24"/>
          <w:szCs w:val="24"/>
        </w:rPr>
        <w:t>se</w:t>
      </w:r>
      <w:r w:rsidRPr="0036725A">
        <w:rPr>
          <w:rFonts w:ascii="Times New Roman" w:hAnsi="Times New Roman" w:cs="Times New Roman"/>
          <w:sz w:val="24"/>
          <w:szCs w:val="24"/>
        </w:rPr>
        <w:t xml:space="preserve"> direct written policies covered distinct risks from </w:t>
      </w:r>
      <w:r>
        <w:rPr>
          <w:rFonts w:ascii="Times New Roman" w:hAnsi="Times New Roman" w:cs="Times New Roman"/>
          <w:sz w:val="24"/>
          <w:szCs w:val="24"/>
        </w:rPr>
        <w:t xml:space="preserve">Peak’s commercially issued policies.  </w:t>
      </w:r>
    </w:p>
    <w:p w14:paraId="44B81970" w14:textId="77777777" w:rsidR="00250577" w:rsidRPr="0036725A" w:rsidRDefault="00250577" w:rsidP="005C63AE">
      <w:pPr>
        <w:spacing w:after="0" w:line="240" w:lineRule="auto"/>
        <w:rPr>
          <w:rFonts w:ascii="Times New Roman" w:hAnsi="Times New Roman" w:cs="Times New Roman"/>
          <w:sz w:val="24"/>
          <w:szCs w:val="24"/>
        </w:rPr>
      </w:pPr>
    </w:p>
    <w:p w14:paraId="65B4C22A" w14:textId="13A64EAF" w:rsidR="00250577" w:rsidRPr="0036725A" w:rsidRDefault="00250577" w:rsidP="005C63AE">
      <w:pPr>
        <w:spacing w:after="0" w:line="240" w:lineRule="auto"/>
        <w:rPr>
          <w:rFonts w:ascii="Times New Roman" w:hAnsi="Times New Roman" w:cs="Times New Roman"/>
          <w:sz w:val="24"/>
          <w:szCs w:val="24"/>
        </w:rPr>
      </w:pPr>
      <w:r>
        <w:rPr>
          <w:rFonts w:ascii="Times New Roman" w:hAnsi="Times New Roman" w:cs="Times New Roman"/>
          <w:sz w:val="24"/>
          <w:szCs w:val="24"/>
        </w:rPr>
        <w:t>However, u</w:t>
      </w:r>
      <w:r w:rsidRPr="0036725A">
        <w:rPr>
          <w:rFonts w:ascii="Times New Roman" w:hAnsi="Times New Roman" w:cs="Times New Roman"/>
          <w:sz w:val="24"/>
          <w:szCs w:val="24"/>
        </w:rPr>
        <w:t xml:space="preserve">nder the </w:t>
      </w:r>
      <w:r>
        <w:rPr>
          <w:rFonts w:ascii="Times New Roman" w:hAnsi="Times New Roman" w:cs="Times New Roman"/>
          <w:sz w:val="24"/>
          <w:szCs w:val="24"/>
        </w:rPr>
        <w:t>Court</w:t>
      </w:r>
      <w:r w:rsidRPr="0036725A">
        <w:rPr>
          <w:rFonts w:ascii="Times New Roman" w:hAnsi="Times New Roman" w:cs="Times New Roman"/>
          <w:sz w:val="24"/>
          <w:szCs w:val="24"/>
        </w:rPr>
        <w:t>’s analysis, commercial insurer</w:t>
      </w:r>
      <w:r>
        <w:rPr>
          <w:rFonts w:ascii="Times New Roman" w:hAnsi="Times New Roman" w:cs="Times New Roman"/>
          <w:sz w:val="24"/>
          <w:szCs w:val="24"/>
        </w:rPr>
        <w:t>s’</w:t>
      </w:r>
      <w:r w:rsidRPr="0036725A">
        <w:rPr>
          <w:rFonts w:ascii="Times New Roman" w:hAnsi="Times New Roman" w:cs="Times New Roman"/>
          <w:sz w:val="24"/>
          <w:szCs w:val="24"/>
        </w:rPr>
        <w:t xml:space="preserve"> workers compensation and auto liability insurance policies must be exhausted before a “captive-issued” pollution policy or business interruption policy can be effective. The </w:t>
      </w:r>
      <w:r>
        <w:rPr>
          <w:rFonts w:ascii="Times New Roman" w:hAnsi="Times New Roman" w:cs="Times New Roman"/>
          <w:sz w:val="24"/>
          <w:szCs w:val="24"/>
        </w:rPr>
        <w:t>Court</w:t>
      </w:r>
      <w:r w:rsidRPr="0036725A">
        <w:rPr>
          <w:rFonts w:ascii="Times New Roman" w:hAnsi="Times New Roman" w:cs="Times New Roman"/>
          <w:sz w:val="24"/>
          <w:szCs w:val="24"/>
        </w:rPr>
        <w:t xml:space="preserve"> cited no authority for this </w:t>
      </w:r>
      <w:r>
        <w:rPr>
          <w:rFonts w:ascii="Times New Roman" w:hAnsi="Times New Roman" w:cs="Times New Roman"/>
          <w:sz w:val="24"/>
          <w:szCs w:val="24"/>
        </w:rPr>
        <w:t xml:space="preserve">extraordinary </w:t>
      </w:r>
      <w:r w:rsidRPr="0036725A">
        <w:rPr>
          <w:rFonts w:ascii="Times New Roman" w:hAnsi="Times New Roman" w:cs="Times New Roman"/>
          <w:sz w:val="24"/>
          <w:szCs w:val="24"/>
        </w:rPr>
        <w:t>proposition</w:t>
      </w:r>
      <w:r>
        <w:rPr>
          <w:rFonts w:ascii="Times New Roman" w:hAnsi="Times New Roman" w:cs="Times New Roman"/>
          <w:sz w:val="24"/>
          <w:szCs w:val="24"/>
        </w:rPr>
        <w:t>.</w:t>
      </w:r>
    </w:p>
    <w:p w14:paraId="6289B559" w14:textId="77777777" w:rsidR="00250577" w:rsidRPr="0036725A" w:rsidRDefault="00250577" w:rsidP="00712BB9">
      <w:pPr>
        <w:spacing w:after="0" w:line="240" w:lineRule="auto"/>
        <w:rPr>
          <w:rFonts w:ascii="Times New Roman" w:hAnsi="Times New Roman" w:cs="Times New Roman"/>
          <w:sz w:val="24"/>
          <w:szCs w:val="24"/>
        </w:rPr>
      </w:pPr>
    </w:p>
    <w:p w14:paraId="4A402AA3" w14:textId="3EA49F66" w:rsidR="00250577" w:rsidRDefault="00250577" w:rsidP="00A842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Court created this issue </w:t>
      </w:r>
      <w:r w:rsidRPr="00CD4AC0">
        <w:rPr>
          <w:rFonts w:ascii="Times New Roman" w:hAnsi="Times New Roman" w:cs="Times New Roman"/>
          <w:i/>
          <w:sz w:val="24"/>
          <w:szCs w:val="24"/>
        </w:rPr>
        <w:t>sua sponte</w:t>
      </w:r>
      <w:r>
        <w:rPr>
          <w:rFonts w:ascii="Times New Roman" w:hAnsi="Times New Roman" w:cs="Times New Roman"/>
          <w:sz w:val="24"/>
          <w:szCs w:val="24"/>
        </w:rPr>
        <w:t xml:space="preserve"> even though this was never a contested issue at trial or in the history of insurance law.  Perhaps the explanation for this is that the Court failed to understand the basic premise of insurance: coverage is contractual in nature, covering only what is specified.  Based on such, a straightforward reading of this contractual term reveals that this provision resolves if there were overlapping or duplicate coverage – which was not the case in </w:t>
      </w:r>
      <w:r w:rsidRPr="003A083E">
        <w:rPr>
          <w:rFonts w:ascii="Times New Roman" w:hAnsi="Times New Roman" w:cs="Times New Roman"/>
          <w:i/>
          <w:sz w:val="24"/>
          <w:szCs w:val="24"/>
        </w:rPr>
        <w:t>Reserve</w:t>
      </w:r>
      <w:r>
        <w:rPr>
          <w:rFonts w:ascii="Times New Roman" w:hAnsi="Times New Roman" w:cs="Times New Roman"/>
          <w:i/>
          <w:sz w:val="24"/>
          <w:szCs w:val="24"/>
        </w:rPr>
        <w:t xml:space="preserve"> </w:t>
      </w:r>
      <w:r>
        <w:rPr>
          <w:rFonts w:ascii="Times New Roman" w:hAnsi="Times New Roman" w:cs="Times New Roman"/>
          <w:sz w:val="24"/>
          <w:szCs w:val="24"/>
        </w:rPr>
        <w:t>– which insurer bears the first risk of loss.  Yet in the end, the Court imposed its own erroneous interpretation regarding the meaning of this contractual provision despite the parties never contesting the meaning of this provision throughout the trial and there being no briefing on such.  In doing so, the Court again created its own new insurance taxation statutory scheme, ignoring dozens of cases over decades and even more decades of insurance practice.</w:t>
      </w:r>
    </w:p>
    <w:p w14:paraId="04526F8F" w14:textId="77777777" w:rsidR="00250577" w:rsidRDefault="00250577" w:rsidP="00A842F8">
      <w:pPr>
        <w:spacing w:after="0" w:line="240" w:lineRule="auto"/>
        <w:rPr>
          <w:rFonts w:ascii="Times New Roman" w:hAnsi="Times New Roman" w:cs="Times New Roman"/>
          <w:sz w:val="24"/>
          <w:szCs w:val="24"/>
        </w:rPr>
      </w:pPr>
    </w:p>
    <w:p w14:paraId="57FF0D58" w14:textId="214FEF2C" w:rsidR="00250577" w:rsidRPr="0036725A" w:rsidRDefault="00250577" w:rsidP="00A842F8">
      <w:pPr>
        <w:spacing w:after="0" w:line="240" w:lineRule="auto"/>
        <w:rPr>
          <w:rFonts w:ascii="Times New Roman" w:hAnsi="Times New Roman" w:cs="Times New Roman"/>
          <w:sz w:val="24"/>
          <w:szCs w:val="24"/>
        </w:rPr>
      </w:pPr>
      <w:r w:rsidRPr="0036725A">
        <w:rPr>
          <w:rFonts w:ascii="Times New Roman" w:hAnsi="Times New Roman" w:cs="Times New Roman"/>
          <w:sz w:val="24"/>
          <w:szCs w:val="24"/>
        </w:rPr>
        <w:t xml:space="preserve">Without having to read between the lines, this </w:t>
      </w:r>
      <w:r>
        <w:rPr>
          <w:rFonts w:ascii="Times New Roman" w:hAnsi="Times New Roman" w:cs="Times New Roman"/>
          <w:sz w:val="24"/>
          <w:szCs w:val="24"/>
        </w:rPr>
        <w:t>Court</w:t>
      </w:r>
      <w:r w:rsidRPr="0036725A">
        <w:rPr>
          <w:rFonts w:ascii="Times New Roman" w:hAnsi="Times New Roman" w:cs="Times New Roman"/>
          <w:sz w:val="24"/>
          <w:szCs w:val="24"/>
        </w:rPr>
        <w:t xml:space="preserve"> concluded in the case of </w:t>
      </w:r>
      <w:r w:rsidRPr="00505F46">
        <w:rPr>
          <w:rFonts w:ascii="Times New Roman" w:hAnsi="Times New Roman" w:cs="Times New Roman"/>
          <w:i/>
          <w:sz w:val="24"/>
          <w:szCs w:val="24"/>
        </w:rPr>
        <w:t>Reserve</w:t>
      </w:r>
      <w:r w:rsidRPr="0036725A">
        <w:rPr>
          <w:rFonts w:ascii="Times New Roman" w:hAnsi="Times New Roman" w:cs="Times New Roman"/>
          <w:sz w:val="24"/>
          <w:szCs w:val="24"/>
        </w:rPr>
        <w:t xml:space="preserve"> that everything was bad and </w:t>
      </w:r>
      <w:r>
        <w:rPr>
          <w:rFonts w:ascii="Times New Roman" w:hAnsi="Times New Roman" w:cs="Times New Roman"/>
          <w:sz w:val="24"/>
          <w:szCs w:val="24"/>
        </w:rPr>
        <w:t xml:space="preserve">that </w:t>
      </w:r>
      <w:r w:rsidRPr="0036725A">
        <w:rPr>
          <w:rFonts w:ascii="Times New Roman" w:hAnsi="Times New Roman" w:cs="Times New Roman"/>
          <w:sz w:val="24"/>
          <w:szCs w:val="24"/>
        </w:rPr>
        <w:t xml:space="preserve">nothing worked.  The direct written insurance covering distinct and </w:t>
      </w:r>
      <w:r>
        <w:rPr>
          <w:rFonts w:ascii="Times New Roman" w:hAnsi="Times New Roman" w:cs="Times New Roman"/>
          <w:sz w:val="24"/>
          <w:szCs w:val="24"/>
        </w:rPr>
        <w:t xml:space="preserve">tailored </w:t>
      </w:r>
      <w:r w:rsidRPr="002A7BA6">
        <w:rPr>
          <w:rFonts w:ascii="Times New Roman" w:hAnsi="Times New Roman" w:cs="Times New Roman"/>
          <w:sz w:val="24"/>
          <w:szCs w:val="24"/>
        </w:rPr>
        <w:t xml:space="preserve">policies for the risks being faced by </w:t>
      </w:r>
      <w:r>
        <w:rPr>
          <w:rFonts w:ascii="Times New Roman" w:hAnsi="Times New Roman" w:cs="Times New Roman"/>
          <w:sz w:val="24"/>
          <w:szCs w:val="24"/>
        </w:rPr>
        <w:t xml:space="preserve">the Peak </w:t>
      </w:r>
      <w:r w:rsidRPr="002A7BA6">
        <w:rPr>
          <w:rFonts w:ascii="Times New Roman" w:hAnsi="Times New Roman" w:cs="Times New Roman"/>
          <w:sz w:val="24"/>
          <w:szCs w:val="24"/>
        </w:rPr>
        <w:t>insureds was bad.  The 600</w:t>
      </w:r>
      <w:r>
        <w:rPr>
          <w:rFonts w:ascii="Times New Roman" w:hAnsi="Times New Roman" w:cs="Times New Roman"/>
          <w:sz w:val="24"/>
          <w:szCs w:val="24"/>
        </w:rPr>
        <w:t xml:space="preserve">+ </w:t>
      </w:r>
      <w:r w:rsidRPr="002A7BA6">
        <w:rPr>
          <w:rFonts w:ascii="Times New Roman" w:hAnsi="Times New Roman" w:cs="Times New Roman"/>
          <w:sz w:val="24"/>
          <w:szCs w:val="24"/>
        </w:rPr>
        <w:t xml:space="preserve">pooled policies from </w:t>
      </w:r>
      <w:r>
        <w:rPr>
          <w:rFonts w:ascii="Times New Roman" w:hAnsi="Times New Roman" w:cs="Times New Roman"/>
          <w:sz w:val="24"/>
          <w:szCs w:val="24"/>
        </w:rPr>
        <w:t>over 200</w:t>
      </w:r>
      <w:r w:rsidRPr="002A7BA6">
        <w:rPr>
          <w:rFonts w:ascii="Times New Roman" w:hAnsi="Times New Roman" w:cs="Times New Roman"/>
          <w:sz w:val="24"/>
          <w:szCs w:val="24"/>
        </w:rPr>
        <w:t xml:space="preserve"> unaffiliated companies</w:t>
      </w:r>
      <w:r>
        <w:rPr>
          <w:rFonts w:ascii="Times New Roman" w:hAnsi="Times New Roman" w:cs="Times New Roman"/>
          <w:sz w:val="24"/>
          <w:szCs w:val="24"/>
        </w:rPr>
        <w:t xml:space="preserve"> – even without any examination of such – </w:t>
      </w:r>
      <w:r w:rsidRPr="002A7BA6">
        <w:rPr>
          <w:rFonts w:ascii="Times New Roman" w:hAnsi="Times New Roman" w:cs="Times New Roman"/>
          <w:sz w:val="24"/>
          <w:szCs w:val="24"/>
        </w:rPr>
        <w:t>covering similar risks w</w:t>
      </w:r>
      <w:r>
        <w:rPr>
          <w:rFonts w:ascii="Times New Roman" w:hAnsi="Times New Roman" w:cs="Times New Roman"/>
          <w:sz w:val="24"/>
          <w:szCs w:val="24"/>
        </w:rPr>
        <w:t>ere</w:t>
      </w:r>
      <w:r w:rsidRPr="002A7BA6">
        <w:rPr>
          <w:rFonts w:ascii="Times New Roman" w:hAnsi="Times New Roman" w:cs="Times New Roman"/>
          <w:sz w:val="24"/>
          <w:szCs w:val="24"/>
        </w:rPr>
        <w:t xml:space="preserve"> bad.  </w:t>
      </w:r>
      <w:r>
        <w:rPr>
          <w:rFonts w:ascii="Times New Roman" w:hAnsi="Times New Roman" w:cs="Times New Roman"/>
          <w:sz w:val="24"/>
          <w:szCs w:val="24"/>
        </w:rPr>
        <w:t>Even</w:t>
      </w:r>
      <w:r w:rsidRPr="002A7BA6">
        <w:rPr>
          <w:rFonts w:ascii="Times New Roman" w:hAnsi="Times New Roman" w:cs="Times New Roman"/>
          <w:sz w:val="24"/>
          <w:szCs w:val="24"/>
        </w:rPr>
        <w:t xml:space="preserve"> </w:t>
      </w:r>
      <w:r>
        <w:rPr>
          <w:rFonts w:ascii="Times New Roman" w:hAnsi="Times New Roman" w:cs="Times New Roman"/>
          <w:sz w:val="24"/>
          <w:szCs w:val="24"/>
        </w:rPr>
        <w:t xml:space="preserve">Reserve’s acceptance of ceded </w:t>
      </w:r>
      <w:r w:rsidRPr="002A7BA6">
        <w:rPr>
          <w:rFonts w:ascii="Times New Roman" w:hAnsi="Times New Roman" w:cs="Times New Roman"/>
          <w:sz w:val="24"/>
          <w:szCs w:val="24"/>
        </w:rPr>
        <w:t xml:space="preserve">commercial reinsurance </w:t>
      </w:r>
      <w:r>
        <w:rPr>
          <w:rFonts w:ascii="Times New Roman" w:hAnsi="Times New Roman" w:cs="Times New Roman"/>
          <w:sz w:val="24"/>
          <w:szCs w:val="24"/>
        </w:rPr>
        <w:t xml:space="preserve">from </w:t>
      </w:r>
      <w:r w:rsidRPr="002A7BA6">
        <w:rPr>
          <w:rFonts w:ascii="Times New Roman" w:hAnsi="Times New Roman" w:cs="Times New Roman"/>
          <w:sz w:val="24"/>
          <w:szCs w:val="24"/>
        </w:rPr>
        <w:t xml:space="preserve">a non-affiliated </w:t>
      </w:r>
      <w:r>
        <w:rPr>
          <w:rFonts w:ascii="Times New Roman" w:hAnsi="Times New Roman" w:cs="Times New Roman"/>
          <w:sz w:val="24"/>
          <w:szCs w:val="24"/>
        </w:rPr>
        <w:t xml:space="preserve">publicly-held insurer </w:t>
      </w:r>
      <w:r w:rsidRPr="002A7BA6">
        <w:rPr>
          <w:rFonts w:ascii="Times New Roman" w:hAnsi="Times New Roman" w:cs="Times New Roman"/>
          <w:sz w:val="24"/>
          <w:szCs w:val="24"/>
        </w:rPr>
        <w:t>was bad.</w:t>
      </w:r>
    </w:p>
    <w:p w14:paraId="6EAFC607" w14:textId="77777777" w:rsidR="00250577" w:rsidRPr="0036725A" w:rsidRDefault="00250577" w:rsidP="000F5581">
      <w:pPr>
        <w:spacing w:after="0" w:line="240" w:lineRule="auto"/>
        <w:rPr>
          <w:rFonts w:ascii="Times New Roman" w:hAnsi="Times New Roman" w:cs="Times New Roman"/>
          <w:sz w:val="24"/>
          <w:szCs w:val="24"/>
        </w:rPr>
      </w:pPr>
    </w:p>
    <w:p w14:paraId="684CEB4F" w14:textId="42C154AD" w:rsidR="00250577" w:rsidRDefault="00250577" w:rsidP="000F5581">
      <w:pPr>
        <w:spacing w:after="0" w:line="240" w:lineRule="auto"/>
        <w:rPr>
          <w:rFonts w:ascii="Times New Roman" w:hAnsi="Times New Roman" w:cs="Times New Roman"/>
          <w:sz w:val="24"/>
          <w:szCs w:val="24"/>
        </w:rPr>
      </w:pPr>
      <w:r w:rsidRPr="0036725A">
        <w:rPr>
          <w:rFonts w:ascii="Times New Roman" w:hAnsi="Times New Roman" w:cs="Times New Roman"/>
          <w:sz w:val="24"/>
          <w:szCs w:val="24"/>
        </w:rPr>
        <w:t xml:space="preserve">The </w:t>
      </w:r>
      <w:r>
        <w:rPr>
          <w:rFonts w:ascii="Times New Roman" w:hAnsi="Times New Roman" w:cs="Times New Roman"/>
          <w:sz w:val="24"/>
          <w:szCs w:val="24"/>
        </w:rPr>
        <w:t>Court</w:t>
      </w:r>
      <w:r w:rsidRPr="0036725A">
        <w:rPr>
          <w:rFonts w:ascii="Times New Roman" w:hAnsi="Times New Roman" w:cs="Times New Roman"/>
          <w:sz w:val="24"/>
          <w:szCs w:val="24"/>
        </w:rPr>
        <w:t xml:space="preserve"> emphasized each of the above newly introduced concepts throughout the Opinion in reaching its conclusions that: (1) the purported reinsurance agreements between PoolRe and Reserve did not allow Reserve to effectively distribute risk</w:t>
      </w:r>
      <w:r w:rsidRPr="0036725A">
        <w:rPr>
          <w:rStyle w:val="EndnoteReference"/>
          <w:rFonts w:ascii="Times New Roman" w:hAnsi="Times New Roman" w:cs="Times New Roman"/>
          <w:sz w:val="24"/>
          <w:szCs w:val="24"/>
        </w:rPr>
        <w:endnoteReference w:id="169"/>
      </w:r>
      <w:r w:rsidRPr="0036725A">
        <w:rPr>
          <w:rFonts w:ascii="Times New Roman" w:hAnsi="Times New Roman" w:cs="Times New Roman"/>
          <w:sz w:val="24"/>
          <w:szCs w:val="24"/>
        </w:rPr>
        <w:t xml:space="preserve"> and (2) Reserve’s transactions were not insurance transactions in the commonly accepted sense.</w:t>
      </w:r>
      <w:r w:rsidRPr="0036725A">
        <w:rPr>
          <w:rStyle w:val="EndnoteReference"/>
          <w:rFonts w:ascii="Times New Roman" w:hAnsi="Times New Roman" w:cs="Times New Roman"/>
          <w:sz w:val="24"/>
          <w:szCs w:val="24"/>
        </w:rPr>
        <w:endnoteReference w:id="170"/>
      </w:r>
    </w:p>
    <w:p w14:paraId="69EC1DC6" w14:textId="5A178284" w:rsidR="00250577" w:rsidRDefault="00250577" w:rsidP="000F5581">
      <w:pPr>
        <w:spacing w:after="0" w:line="240" w:lineRule="auto"/>
        <w:rPr>
          <w:rFonts w:ascii="Times New Roman" w:hAnsi="Times New Roman" w:cs="Times New Roman"/>
          <w:sz w:val="24"/>
          <w:szCs w:val="24"/>
        </w:rPr>
      </w:pPr>
    </w:p>
    <w:p w14:paraId="223F1A3C" w14:textId="643A28F9" w:rsidR="00250577" w:rsidRPr="00D46128" w:rsidRDefault="00250577" w:rsidP="000F5581">
      <w:pPr>
        <w:spacing w:after="0" w:line="240" w:lineRule="auto"/>
        <w:rPr>
          <w:rFonts w:ascii="Times New Roman" w:hAnsi="Times New Roman" w:cs="Times New Roman"/>
          <w:sz w:val="24"/>
          <w:szCs w:val="24"/>
          <w:u w:val="single"/>
        </w:rPr>
      </w:pPr>
      <w:r w:rsidRPr="00D46128">
        <w:rPr>
          <w:rFonts w:ascii="Times New Roman" w:hAnsi="Times New Roman" w:cs="Times New Roman"/>
          <w:sz w:val="24"/>
          <w:szCs w:val="24"/>
          <w:u w:val="single"/>
        </w:rPr>
        <w:t xml:space="preserve">D.  </w:t>
      </w:r>
      <w:r>
        <w:rPr>
          <w:rFonts w:ascii="Times New Roman" w:hAnsi="Times New Roman" w:cs="Times New Roman"/>
          <w:sz w:val="24"/>
          <w:szCs w:val="24"/>
          <w:u w:val="single"/>
        </w:rPr>
        <w:t>PoolRe Must be a “Bona Fide Insurance Company” – A Non-Contested Issue at Trial</w:t>
      </w:r>
    </w:p>
    <w:p w14:paraId="69DE3973" w14:textId="77777777" w:rsidR="00250577" w:rsidRPr="0036725A" w:rsidRDefault="00250577" w:rsidP="00E60AC4">
      <w:pPr>
        <w:spacing w:after="0" w:line="240" w:lineRule="auto"/>
        <w:rPr>
          <w:rFonts w:ascii="Times New Roman" w:hAnsi="Times New Roman" w:cs="Times New Roman"/>
          <w:sz w:val="24"/>
          <w:szCs w:val="24"/>
        </w:rPr>
      </w:pPr>
    </w:p>
    <w:p w14:paraId="0D4EDFD3" w14:textId="1F9B78D3" w:rsidR="00250577" w:rsidRDefault="00250577" w:rsidP="00E60A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to each of the factual concepts discussed above that were introduced by the Court for the first time </w:t>
      </w:r>
      <w:r w:rsidRPr="00A22363">
        <w:rPr>
          <w:rFonts w:ascii="Times New Roman" w:hAnsi="Times New Roman" w:cs="Times New Roman"/>
          <w:sz w:val="24"/>
          <w:szCs w:val="24"/>
        </w:rPr>
        <w:t xml:space="preserve">in </w:t>
      </w:r>
      <w:r w:rsidRPr="00A22363">
        <w:rPr>
          <w:rFonts w:ascii="Times New Roman" w:hAnsi="Times New Roman" w:cs="Times New Roman"/>
          <w:i/>
          <w:sz w:val="24"/>
          <w:szCs w:val="24"/>
        </w:rPr>
        <w:t>Reserve</w:t>
      </w:r>
      <w:r w:rsidRPr="00A22363">
        <w:rPr>
          <w:rFonts w:ascii="Times New Roman" w:hAnsi="Times New Roman" w:cs="Times New Roman"/>
          <w:sz w:val="24"/>
          <w:szCs w:val="24"/>
        </w:rPr>
        <w:t xml:space="preserve">, the Court </w:t>
      </w:r>
      <w:r w:rsidRPr="00A22363">
        <w:rPr>
          <w:rFonts w:ascii="Times New Roman" w:hAnsi="Times New Roman" w:cs="Times New Roman"/>
          <w:b/>
          <w:i/>
          <w:sz w:val="24"/>
          <w:szCs w:val="24"/>
        </w:rPr>
        <w:t>retroactively applied a new legal standard</w:t>
      </w:r>
      <w:r w:rsidRPr="00A22363">
        <w:rPr>
          <w:rFonts w:ascii="Times New Roman" w:hAnsi="Times New Roman" w:cs="Times New Roman"/>
          <w:sz w:val="24"/>
          <w:szCs w:val="24"/>
        </w:rPr>
        <w:t xml:space="preserve"> to the PoolRe </w:t>
      </w:r>
      <w:r>
        <w:rPr>
          <w:rFonts w:ascii="Times New Roman" w:hAnsi="Times New Roman" w:cs="Times New Roman"/>
          <w:sz w:val="24"/>
          <w:szCs w:val="24"/>
        </w:rPr>
        <w:t xml:space="preserve">administered </w:t>
      </w:r>
      <w:r w:rsidRPr="00A22363">
        <w:rPr>
          <w:rFonts w:ascii="Times New Roman" w:hAnsi="Times New Roman" w:cs="Times New Roman"/>
          <w:sz w:val="24"/>
          <w:szCs w:val="24"/>
        </w:rPr>
        <w:t xml:space="preserve">pooling arrangement based on a legal concept that was first introduced in the </w:t>
      </w:r>
      <w:r w:rsidRPr="00A22363">
        <w:rPr>
          <w:rFonts w:ascii="Times New Roman" w:hAnsi="Times New Roman" w:cs="Times New Roman"/>
          <w:i/>
          <w:sz w:val="24"/>
          <w:szCs w:val="24"/>
        </w:rPr>
        <w:t>Avrahami</w:t>
      </w:r>
      <w:r w:rsidRPr="00A22363">
        <w:rPr>
          <w:rFonts w:ascii="Times New Roman" w:hAnsi="Times New Roman" w:cs="Times New Roman"/>
          <w:sz w:val="24"/>
          <w:szCs w:val="24"/>
        </w:rPr>
        <w:t xml:space="preserve"> case, decided</w:t>
      </w:r>
      <w:r>
        <w:rPr>
          <w:rFonts w:ascii="Times New Roman" w:hAnsi="Times New Roman" w:cs="Times New Roman"/>
          <w:sz w:val="24"/>
          <w:szCs w:val="24"/>
        </w:rPr>
        <w:t xml:space="preserve"> both</w:t>
      </w:r>
      <w:r w:rsidRPr="00A22363">
        <w:rPr>
          <w:rFonts w:ascii="Times New Roman" w:hAnsi="Times New Roman" w:cs="Times New Roman"/>
          <w:sz w:val="24"/>
          <w:szCs w:val="24"/>
        </w:rPr>
        <w:t xml:space="preserve"> </w:t>
      </w:r>
      <w:r w:rsidRPr="00A22363">
        <w:rPr>
          <w:rFonts w:ascii="Times New Roman" w:hAnsi="Times New Roman" w:cs="Times New Roman"/>
          <w:b/>
          <w:i/>
          <w:sz w:val="24"/>
          <w:szCs w:val="24"/>
        </w:rPr>
        <w:t xml:space="preserve">after the close of evidence in the Reserve trial </w:t>
      </w:r>
      <w:r>
        <w:rPr>
          <w:rFonts w:ascii="Times New Roman" w:hAnsi="Times New Roman" w:cs="Times New Roman"/>
          <w:sz w:val="24"/>
          <w:szCs w:val="24"/>
        </w:rPr>
        <w:t xml:space="preserve">and </w:t>
      </w:r>
      <w:r w:rsidRPr="00A22363">
        <w:rPr>
          <w:rFonts w:ascii="Times New Roman" w:hAnsi="Times New Roman" w:cs="Times New Roman"/>
          <w:sz w:val="24"/>
          <w:szCs w:val="24"/>
        </w:rPr>
        <w:t>after the filing of the post-trial opening briefs by both Reserve and the government.</w:t>
      </w:r>
      <w:r w:rsidRPr="00A22363">
        <w:rPr>
          <w:rStyle w:val="EndnoteReference"/>
          <w:rFonts w:ascii="Times New Roman" w:hAnsi="Times New Roman" w:cs="Times New Roman"/>
          <w:sz w:val="24"/>
          <w:szCs w:val="24"/>
        </w:rPr>
        <w:endnoteReference w:id="171"/>
      </w:r>
      <w:r>
        <w:rPr>
          <w:rFonts w:ascii="Times New Roman" w:hAnsi="Times New Roman" w:cs="Times New Roman"/>
          <w:sz w:val="24"/>
          <w:szCs w:val="24"/>
        </w:rPr>
        <w:t xml:space="preserve">  As discussed below, the </w:t>
      </w:r>
      <w:r w:rsidRPr="00CF07CC">
        <w:rPr>
          <w:rFonts w:ascii="Times New Roman" w:hAnsi="Times New Roman" w:cs="Times New Roman"/>
          <w:i/>
          <w:sz w:val="24"/>
          <w:szCs w:val="24"/>
        </w:rPr>
        <w:t xml:space="preserve">Avrahami </w:t>
      </w:r>
      <w:r>
        <w:rPr>
          <w:rFonts w:ascii="Times New Roman" w:hAnsi="Times New Roman" w:cs="Times New Roman"/>
          <w:sz w:val="24"/>
          <w:szCs w:val="24"/>
        </w:rPr>
        <w:t xml:space="preserve">court was wrong in its holding onto which the </w:t>
      </w:r>
      <w:r w:rsidRPr="00CF07CC">
        <w:rPr>
          <w:rFonts w:ascii="Times New Roman" w:hAnsi="Times New Roman" w:cs="Times New Roman"/>
          <w:i/>
          <w:sz w:val="24"/>
          <w:szCs w:val="24"/>
        </w:rPr>
        <w:t>Reserve</w:t>
      </w:r>
      <w:r>
        <w:rPr>
          <w:rFonts w:ascii="Times New Roman" w:hAnsi="Times New Roman" w:cs="Times New Roman"/>
          <w:sz w:val="24"/>
          <w:szCs w:val="24"/>
        </w:rPr>
        <w:t xml:space="preserve"> court latched.</w:t>
      </w:r>
    </w:p>
    <w:p w14:paraId="25ED5C79" w14:textId="77777777" w:rsidR="00250577" w:rsidRDefault="00250577" w:rsidP="00E60AC4">
      <w:pPr>
        <w:spacing w:after="0" w:line="240" w:lineRule="auto"/>
        <w:rPr>
          <w:rFonts w:ascii="Times New Roman" w:hAnsi="Times New Roman" w:cs="Times New Roman"/>
          <w:sz w:val="24"/>
          <w:szCs w:val="24"/>
        </w:rPr>
      </w:pPr>
    </w:p>
    <w:p w14:paraId="1E0157FD" w14:textId="5741463E" w:rsidR="00250577" w:rsidRPr="002C5602" w:rsidRDefault="00250577" w:rsidP="002C56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Quite simply, the Court cited to the </w:t>
      </w:r>
      <w:r w:rsidRPr="0005306D">
        <w:rPr>
          <w:rFonts w:ascii="Times New Roman" w:hAnsi="Times New Roman" w:cs="Times New Roman"/>
          <w:i/>
          <w:sz w:val="24"/>
          <w:szCs w:val="24"/>
        </w:rPr>
        <w:t>Avrahami</w:t>
      </w:r>
      <w:r>
        <w:rPr>
          <w:rFonts w:ascii="Times New Roman" w:hAnsi="Times New Roman" w:cs="Times New Roman"/>
          <w:sz w:val="24"/>
          <w:szCs w:val="24"/>
        </w:rPr>
        <w:t xml:space="preserve"> case to decide issues against Reserve that were neither relevant to Reserve’s facts nor were contested in the </w:t>
      </w:r>
      <w:r w:rsidRPr="00273D21">
        <w:rPr>
          <w:rFonts w:ascii="Times New Roman" w:hAnsi="Times New Roman" w:cs="Times New Roman"/>
          <w:i/>
          <w:sz w:val="24"/>
          <w:szCs w:val="24"/>
        </w:rPr>
        <w:t>Reserve</w:t>
      </w:r>
      <w:r>
        <w:rPr>
          <w:rFonts w:ascii="Times New Roman" w:hAnsi="Times New Roman" w:cs="Times New Roman"/>
          <w:sz w:val="24"/>
          <w:szCs w:val="24"/>
        </w:rPr>
        <w:t xml:space="preserve"> litigation.  In </w:t>
      </w:r>
      <w:r w:rsidRPr="00482981">
        <w:rPr>
          <w:rFonts w:ascii="Times New Roman" w:hAnsi="Times New Roman" w:cs="Times New Roman"/>
          <w:i/>
          <w:sz w:val="24"/>
          <w:szCs w:val="24"/>
        </w:rPr>
        <w:t>Avrahami</w:t>
      </w:r>
      <w:r>
        <w:rPr>
          <w:rFonts w:ascii="Times New Roman" w:hAnsi="Times New Roman" w:cs="Times New Roman"/>
          <w:sz w:val="24"/>
          <w:szCs w:val="24"/>
        </w:rPr>
        <w:t xml:space="preserve">, the captive (Feedback) participated in a pooling arrangement through Pan American in its attempt to achieve risk distribution for the captive.  The tax court in </w:t>
      </w:r>
      <w:r w:rsidRPr="00482981">
        <w:rPr>
          <w:rFonts w:ascii="Times New Roman" w:hAnsi="Times New Roman" w:cs="Times New Roman"/>
          <w:i/>
          <w:sz w:val="24"/>
          <w:szCs w:val="24"/>
        </w:rPr>
        <w:t>Avrahami</w:t>
      </w:r>
      <w:r>
        <w:rPr>
          <w:rFonts w:ascii="Times New Roman" w:hAnsi="Times New Roman" w:cs="Times New Roman"/>
          <w:sz w:val="24"/>
          <w:szCs w:val="24"/>
        </w:rPr>
        <w:t xml:space="preserve"> concluded that it is necessary for it to decide whether Pan American was a “bona fide insurance company” </w:t>
      </w:r>
      <w:r w:rsidRPr="002C5602">
        <w:rPr>
          <w:rFonts w:ascii="Times New Roman" w:hAnsi="Times New Roman" w:cs="Times New Roman"/>
          <w:sz w:val="24"/>
          <w:szCs w:val="24"/>
        </w:rPr>
        <w:t xml:space="preserve">before </w:t>
      </w:r>
      <w:r>
        <w:rPr>
          <w:rFonts w:ascii="Times New Roman" w:hAnsi="Times New Roman" w:cs="Times New Roman"/>
          <w:sz w:val="24"/>
          <w:szCs w:val="24"/>
        </w:rPr>
        <w:t xml:space="preserve">the court </w:t>
      </w:r>
      <w:r>
        <w:rPr>
          <w:rFonts w:ascii="Times New Roman" w:hAnsi="Times New Roman" w:cs="Times New Roman"/>
          <w:sz w:val="24"/>
          <w:szCs w:val="24"/>
        </w:rPr>
        <w:lastRenderedPageBreak/>
        <w:t xml:space="preserve">could decide </w:t>
      </w:r>
      <w:r w:rsidRPr="002C5602">
        <w:rPr>
          <w:rFonts w:ascii="Times New Roman" w:hAnsi="Times New Roman" w:cs="Times New Roman"/>
          <w:sz w:val="24"/>
          <w:szCs w:val="24"/>
        </w:rPr>
        <w:t>whether</w:t>
      </w:r>
      <w:r>
        <w:rPr>
          <w:rFonts w:ascii="Times New Roman" w:hAnsi="Times New Roman" w:cs="Times New Roman"/>
          <w:sz w:val="24"/>
          <w:szCs w:val="24"/>
        </w:rPr>
        <w:t xml:space="preserve"> </w:t>
      </w:r>
      <w:r w:rsidRPr="002C5602">
        <w:rPr>
          <w:rFonts w:ascii="Times New Roman" w:hAnsi="Times New Roman" w:cs="Times New Roman"/>
          <w:sz w:val="24"/>
          <w:szCs w:val="24"/>
        </w:rPr>
        <w:t>Feedback distributed risk through the Pan American p</w:t>
      </w:r>
      <w:r>
        <w:rPr>
          <w:rFonts w:ascii="Times New Roman" w:hAnsi="Times New Roman" w:cs="Times New Roman"/>
          <w:sz w:val="24"/>
          <w:szCs w:val="24"/>
        </w:rPr>
        <w:t>ooling arrangement.</w:t>
      </w:r>
      <w:r>
        <w:rPr>
          <w:rStyle w:val="EndnoteReference"/>
          <w:rFonts w:ascii="Times New Roman" w:hAnsi="Times New Roman" w:cs="Times New Roman"/>
          <w:sz w:val="24"/>
          <w:szCs w:val="24"/>
        </w:rPr>
        <w:endnoteReference w:id="172"/>
      </w:r>
      <w:r>
        <w:rPr>
          <w:rFonts w:ascii="Times New Roman" w:hAnsi="Times New Roman" w:cs="Times New Roman"/>
          <w:sz w:val="24"/>
          <w:szCs w:val="24"/>
        </w:rPr>
        <w:t xml:space="preserve">  </w:t>
      </w:r>
      <w:r w:rsidRPr="006F427E">
        <w:rPr>
          <w:rFonts w:ascii="Times New Roman" w:hAnsi="Times New Roman" w:cs="Times New Roman"/>
          <w:i/>
          <w:sz w:val="24"/>
          <w:szCs w:val="24"/>
        </w:rPr>
        <w:t>No previous case had ever even suggested that a pooling arrangement was required to be a “bona fide insurance company” for the pooling arrangement to effectively distribute risk to participant reinsurers under the pooling arrangement.</w:t>
      </w:r>
      <w:r>
        <w:rPr>
          <w:rStyle w:val="EndnoteReference"/>
          <w:rFonts w:ascii="Times New Roman" w:hAnsi="Times New Roman" w:cs="Times New Roman"/>
          <w:sz w:val="24"/>
          <w:szCs w:val="24"/>
        </w:rPr>
        <w:endnoteReference w:id="173"/>
      </w:r>
      <w:r>
        <w:rPr>
          <w:rFonts w:ascii="Times New Roman" w:hAnsi="Times New Roman" w:cs="Times New Roman"/>
          <w:sz w:val="24"/>
          <w:szCs w:val="24"/>
        </w:rPr>
        <w:t xml:space="preserve">  Nor had the government ever taken this position. </w:t>
      </w:r>
      <w:r w:rsidRPr="006F427E">
        <w:rPr>
          <w:rFonts w:ascii="Times New Roman" w:hAnsi="Times New Roman" w:cs="Times New Roman"/>
          <w:i/>
          <w:sz w:val="24"/>
          <w:szCs w:val="24"/>
        </w:rPr>
        <w:t>Reserve</w:t>
      </w:r>
      <w:r>
        <w:rPr>
          <w:rFonts w:ascii="Times New Roman" w:hAnsi="Times New Roman" w:cs="Times New Roman"/>
          <w:sz w:val="24"/>
          <w:szCs w:val="24"/>
        </w:rPr>
        <w:t xml:space="preserve"> set out “whether PoolRe was a bona fide insurance company” as a threshold issue in furtherance of its being shoehorned into </w:t>
      </w:r>
      <w:r w:rsidRPr="006F427E">
        <w:rPr>
          <w:rFonts w:ascii="Times New Roman" w:hAnsi="Times New Roman" w:cs="Times New Roman"/>
          <w:i/>
          <w:sz w:val="24"/>
          <w:szCs w:val="24"/>
        </w:rPr>
        <w:t>Avrahami</w:t>
      </w:r>
      <w:r>
        <w:rPr>
          <w:rFonts w:ascii="Times New Roman" w:hAnsi="Times New Roman" w:cs="Times New Roman"/>
          <w:sz w:val="24"/>
          <w:szCs w:val="24"/>
        </w:rPr>
        <w:t>.</w:t>
      </w:r>
    </w:p>
    <w:p w14:paraId="34994A12" w14:textId="77777777" w:rsidR="00250577" w:rsidRDefault="00250577" w:rsidP="00E60AC4">
      <w:pPr>
        <w:spacing w:after="0" w:line="240" w:lineRule="auto"/>
        <w:rPr>
          <w:rFonts w:ascii="Times New Roman" w:hAnsi="Times New Roman" w:cs="Times New Roman"/>
          <w:sz w:val="24"/>
          <w:szCs w:val="24"/>
        </w:rPr>
      </w:pPr>
    </w:p>
    <w:p w14:paraId="77BB611D" w14:textId="5A8AD00F" w:rsidR="00250577" w:rsidRDefault="00250577" w:rsidP="002D1D37">
      <w:pPr>
        <w:autoSpaceDE w:val="0"/>
        <w:autoSpaceDN w:val="0"/>
        <w:adjustRightInd w:val="0"/>
        <w:spacing w:after="0" w:line="240" w:lineRule="auto"/>
        <w:rPr>
          <w:rFonts w:ascii="Times New Roman" w:hAnsi="Times New Roman" w:cs="Times New Roman"/>
          <w:sz w:val="24"/>
          <w:szCs w:val="24"/>
        </w:rPr>
      </w:pPr>
      <w:r w:rsidRPr="00BD76FF">
        <w:rPr>
          <w:rFonts w:ascii="Times New Roman" w:hAnsi="Times New Roman" w:cs="Times New Roman"/>
          <w:sz w:val="24"/>
          <w:szCs w:val="24"/>
        </w:rPr>
        <w:t xml:space="preserve">The issue </w:t>
      </w:r>
      <w:r>
        <w:rPr>
          <w:rFonts w:ascii="Times New Roman" w:hAnsi="Times New Roman" w:cs="Times New Roman"/>
          <w:sz w:val="24"/>
          <w:szCs w:val="24"/>
        </w:rPr>
        <w:t xml:space="preserve">relevant to risk distribution that was </w:t>
      </w:r>
      <w:r w:rsidRPr="00BD76FF">
        <w:rPr>
          <w:rFonts w:ascii="Times New Roman" w:hAnsi="Times New Roman" w:cs="Times New Roman"/>
          <w:sz w:val="24"/>
          <w:szCs w:val="24"/>
        </w:rPr>
        <w:t xml:space="preserve">before the </w:t>
      </w:r>
      <w:r>
        <w:rPr>
          <w:rFonts w:ascii="Times New Roman" w:hAnsi="Times New Roman" w:cs="Times New Roman"/>
          <w:sz w:val="24"/>
          <w:szCs w:val="24"/>
        </w:rPr>
        <w:t>Court</w:t>
      </w:r>
      <w:r w:rsidRPr="00BD76FF">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CC03FF">
        <w:rPr>
          <w:rFonts w:ascii="Times New Roman" w:hAnsi="Times New Roman" w:cs="Times New Roman"/>
          <w:i/>
          <w:sz w:val="24"/>
          <w:szCs w:val="24"/>
        </w:rPr>
        <w:t>Reserve</w:t>
      </w:r>
      <w:r>
        <w:rPr>
          <w:rFonts w:ascii="Times New Roman" w:hAnsi="Times New Roman" w:cs="Times New Roman"/>
          <w:sz w:val="24"/>
          <w:szCs w:val="24"/>
        </w:rPr>
        <w:t xml:space="preserve"> </w:t>
      </w:r>
      <w:r w:rsidRPr="00BD76FF">
        <w:rPr>
          <w:rFonts w:ascii="Times New Roman" w:hAnsi="Times New Roman" w:cs="Times New Roman"/>
          <w:sz w:val="24"/>
          <w:szCs w:val="24"/>
        </w:rPr>
        <w:t>was whether Reserve had a sufficient level of risk distribution</w:t>
      </w:r>
      <w:r>
        <w:rPr>
          <w:rFonts w:ascii="Times New Roman" w:hAnsi="Times New Roman" w:cs="Times New Roman"/>
          <w:sz w:val="24"/>
          <w:szCs w:val="24"/>
        </w:rPr>
        <w:t xml:space="preserve"> when considering its PoolRe participation.  This was </w:t>
      </w:r>
      <w:r w:rsidRPr="00BD76FF">
        <w:rPr>
          <w:rFonts w:ascii="Times New Roman" w:hAnsi="Times New Roman" w:cs="Times New Roman"/>
          <w:sz w:val="24"/>
          <w:szCs w:val="24"/>
        </w:rPr>
        <w:t xml:space="preserve">answered in the affirmative by a Ph.D.-credentialed insurance economist </w:t>
      </w:r>
      <w:r>
        <w:rPr>
          <w:rFonts w:ascii="Times New Roman" w:hAnsi="Times New Roman" w:cs="Times New Roman"/>
          <w:sz w:val="24"/>
          <w:szCs w:val="24"/>
        </w:rPr>
        <w:t xml:space="preserve">and Wharton professor of insurance economics </w:t>
      </w:r>
      <w:r w:rsidRPr="00BD76FF">
        <w:rPr>
          <w:rFonts w:ascii="Times New Roman" w:hAnsi="Times New Roman" w:cs="Times New Roman"/>
          <w:sz w:val="24"/>
          <w:szCs w:val="24"/>
        </w:rPr>
        <w:t xml:space="preserve">of national reputation, who was recognized as an expert by the </w:t>
      </w:r>
      <w:r>
        <w:rPr>
          <w:rFonts w:ascii="Times New Roman" w:hAnsi="Times New Roman" w:cs="Times New Roman"/>
          <w:sz w:val="24"/>
          <w:szCs w:val="24"/>
        </w:rPr>
        <w:t>Court</w:t>
      </w:r>
      <w:r w:rsidRPr="00BD76FF">
        <w:rPr>
          <w:rFonts w:ascii="Times New Roman" w:hAnsi="Times New Roman" w:cs="Times New Roman"/>
          <w:sz w:val="24"/>
          <w:szCs w:val="24"/>
        </w:rPr>
        <w:t xml:space="preserve"> </w:t>
      </w:r>
      <w:r>
        <w:rPr>
          <w:rFonts w:ascii="Times New Roman" w:hAnsi="Times New Roman" w:cs="Times New Roman"/>
          <w:sz w:val="24"/>
          <w:szCs w:val="24"/>
        </w:rPr>
        <w:t xml:space="preserve">on this and five previous occasions </w:t>
      </w:r>
      <w:r w:rsidRPr="00BD76FF">
        <w:rPr>
          <w:rFonts w:ascii="Times New Roman" w:hAnsi="Times New Roman" w:cs="Times New Roman"/>
          <w:sz w:val="24"/>
          <w:szCs w:val="24"/>
        </w:rPr>
        <w:t xml:space="preserve">and who </w:t>
      </w:r>
      <w:r>
        <w:rPr>
          <w:rFonts w:ascii="Times New Roman" w:hAnsi="Times New Roman" w:cs="Times New Roman"/>
          <w:sz w:val="24"/>
          <w:szCs w:val="24"/>
        </w:rPr>
        <w:t xml:space="preserve">had </w:t>
      </w:r>
      <w:r w:rsidRPr="00BD76FF">
        <w:rPr>
          <w:rFonts w:ascii="Times New Roman" w:hAnsi="Times New Roman" w:cs="Times New Roman"/>
          <w:sz w:val="24"/>
          <w:szCs w:val="24"/>
        </w:rPr>
        <w:t xml:space="preserve">studied </w:t>
      </w:r>
      <w:r>
        <w:rPr>
          <w:rFonts w:ascii="Times New Roman" w:hAnsi="Times New Roman" w:cs="Times New Roman"/>
          <w:sz w:val="24"/>
          <w:szCs w:val="24"/>
        </w:rPr>
        <w:t xml:space="preserve">PoolRe’s </w:t>
      </w:r>
      <w:r w:rsidRPr="00BD76FF">
        <w:rPr>
          <w:rFonts w:ascii="Times New Roman" w:hAnsi="Times New Roman" w:cs="Times New Roman"/>
          <w:sz w:val="24"/>
          <w:szCs w:val="24"/>
        </w:rPr>
        <w:t xml:space="preserve">pooling </w:t>
      </w:r>
      <w:r>
        <w:rPr>
          <w:rFonts w:ascii="Times New Roman" w:hAnsi="Times New Roman" w:cs="Times New Roman"/>
          <w:sz w:val="24"/>
          <w:szCs w:val="24"/>
        </w:rPr>
        <w:t xml:space="preserve">arrangement </w:t>
      </w:r>
      <w:r w:rsidRPr="00BD76FF">
        <w:rPr>
          <w:rFonts w:ascii="Times New Roman" w:hAnsi="Times New Roman" w:cs="Times New Roman"/>
          <w:sz w:val="24"/>
          <w:szCs w:val="24"/>
        </w:rPr>
        <w:t>in depth</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74"/>
      </w:r>
      <w:r>
        <w:rPr>
          <w:rFonts w:ascii="Times New Roman" w:hAnsi="Times New Roman" w:cs="Times New Roman"/>
          <w:sz w:val="24"/>
          <w:szCs w:val="24"/>
        </w:rPr>
        <w:t xml:space="preserve">  Reserve presented substantial evidence to prove that its participation in the PoolRe pooling arrangement enabled </w:t>
      </w:r>
      <w:r w:rsidRPr="00801E34">
        <w:rPr>
          <w:rFonts w:ascii="Times New Roman" w:hAnsi="Times New Roman" w:cs="Times New Roman"/>
          <w:sz w:val="24"/>
          <w:szCs w:val="24"/>
        </w:rPr>
        <w:t xml:space="preserve">it to effectively distribute risk among PoolRe’s many other captive participants, which (by way of example in 2010) involved </w:t>
      </w:r>
      <w:r>
        <w:rPr>
          <w:rFonts w:ascii="Times New Roman" w:hAnsi="Times New Roman" w:cs="Times New Roman"/>
          <w:sz w:val="24"/>
          <w:szCs w:val="24"/>
        </w:rPr>
        <w:t xml:space="preserve">200+ </w:t>
      </w:r>
      <w:r w:rsidRPr="00801E34">
        <w:rPr>
          <w:rFonts w:ascii="Times New Roman" w:hAnsi="Times New Roman" w:cs="Times New Roman"/>
          <w:sz w:val="24"/>
          <w:szCs w:val="24"/>
        </w:rPr>
        <w:t xml:space="preserve">different unrelated </w:t>
      </w:r>
      <w:r w:rsidRPr="002D1D37">
        <w:rPr>
          <w:rFonts w:ascii="Times New Roman" w:hAnsi="Times New Roman" w:cs="Times New Roman"/>
          <w:sz w:val="24"/>
          <w:szCs w:val="24"/>
        </w:rPr>
        <w:t>insureds and 6</w:t>
      </w:r>
      <w:r>
        <w:rPr>
          <w:rFonts w:ascii="Times New Roman" w:hAnsi="Times New Roman" w:cs="Times New Roman"/>
          <w:sz w:val="24"/>
          <w:szCs w:val="24"/>
        </w:rPr>
        <w:t>00+</w:t>
      </w:r>
      <w:r w:rsidRPr="002D1D37">
        <w:rPr>
          <w:rFonts w:ascii="Times New Roman" w:hAnsi="Times New Roman" w:cs="Times New Roman"/>
          <w:sz w:val="24"/>
          <w:szCs w:val="24"/>
        </w:rPr>
        <w:t xml:space="preserve"> policies being pooled </w:t>
      </w:r>
      <w:r>
        <w:rPr>
          <w:rFonts w:ascii="Times New Roman" w:hAnsi="Times New Roman" w:cs="Times New Roman"/>
          <w:sz w:val="24"/>
          <w:szCs w:val="24"/>
        </w:rPr>
        <w:t xml:space="preserve">(shared) </w:t>
      </w:r>
      <w:r w:rsidRPr="002D1D37">
        <w:rPr>
          <w:rFonts w:ascii="Times New Roman" w:hAnsi="Times New Roman" w:cs="Times New Roman"/>
          <w:sz w:val="24"/>
          <w:szCs w:val="24"/>
        </w:rPr>
        <w:t>and reinsured by the participating captives</w:t>
      </w:r>
      <w:r>
        <w:rPr>
          <w:rFonts w:ascii="Times New Roman" w:hAnsi="Times New Roman" w:cs="Times New Roman"/>
          <w:sz w:val="24"/>
          <w:szCs w:val="24"/>
        </w:rPr>
        <w:t>.</w:t>
      </w:r>
      <w:r w:rsidRPr="002D1D37">
        <w:rPr>
          <w:rFonts w:ascii="Times New Roman" w:hAnsi="Times New Roman" w:cs="Times New Roman"/>
          <w:sz w:val="24"/>
          <w:szCs w:val="24"/>
        </w:rPr>
        <w:t xml:space="preserve"> The government did not provide any evidence at trial to controvert Dr. Doherty’s expert testimony that Reserve’s participation in the PoolRe pooling arrangement was effective in achieving a widespread risk distribution on behalf of Reserve.  Instead, the government simply argued that Reserve bore the burden of proof to show that its reinsurance agreement with PoolRe distributed risk and that Reserve failed to meet its burden of proof.</w:t>
      </w:r>
      <w:r w:rsidRPr="002D1D37">
        <w:rPr>
          <w:rStyle w:val="EndnoteReference"/>
          <w:rFonts w:ascii="Times New Roman" w:hAnsi="Times New Roman" w:cs="Times New Roman"/>
          <w:sz w:val="24"/>
          <w:szCs w:val="24"/>
        </w:rPr>
        <w:endnoteReference w:id="175"/>
      </w:r>
      <w:r w:rsidRPr="002D1D37">
        <w:rPr>
          <w:rFonts w:ascii="Times New Roman" w:hAnsi="Times New Roman" w:cs="Times New Roman"/>
          <w:sz w:val="24"/>
          <w:szCs w:val="24"/>
        </w:rPr>
        <w:t xml:space="preserve">  </w:t>
      </w:r>
      <w:r w:rsidRPr="009E6B36">
        <w:rPr>
          <w:rFonts w:ascii="Times New Roman" w:hAnsi="Times New Roman" w:cs="Times New Roman"/>
          <w:sz w:val="24"/>
          <w:szCs w:val="24"/>
        </w:rPr>
        <w:t>In fact, Reserve met its burden of proof on the issue of risk distribution by introducing credible evidence in the form of Dr. Doherty’s expert testimony, which was not controverted by the government</w:t>
      </w:r>
      <w:r w:rsidRPr="0068532B">
        <w:rPr>
          <w:rFonts w:ascii="Times New Roman" w:hAnsi="Times New Roman" w:cs="Times New Roman"/>
          <w:sz w:val="24"/>
          <w:szCs w:val="24"/>
        </w:rPr>
        <w:t>.</w:t>
      </w:r>
    </w:p>
    <w:p w14:paraId="6A8987CC" w14:textId="0ECB865F" w:rsidR="00250577" w:rsidRDefault="00250577" w:rsidP="00E60AC4">
      <w:pPr>
        <w:spacing w:after="0" w:line="240" w:lineRule="auto"/>
        <w:rPr>
          <w:rFonts w:ascii="Times New Roman" w:hAnsi="Times New Roman" w:cs="Times New Roman"/>
          <w:sz w:val="24"/>
          <w:szCs w:val="24"/>
        </w:rPr>
      </w:pPr>
    </w:p>
    <w:p w14:paraId="516DAB15" w14:textId="24D454E3" w:rsidR="00250577" w:rsidRPr="00B32706" w:rsidRDefault="00250577" w:rsidP="00E60AC4">
      <w:pPr>
        <w:spacing w:after="0" w:line="240" w:lineRule="auto"/>
        <w:rPr>
          <w:rFonts w:ascii="Times New Roman" w:hAnsi="Times New Roman" w:cs="Times New Roman"/>
          <w:sz w:val="24"/>
          <w:szCs w:val="24"/>
        </w:rPr>
      </w:pPr>
      <w:r w:rsidRPr="00EC2250">
        <w:rPr>
          <w:rFonts w:ascii="Times New Roman" w:hAnsi="Times New Roman" w:cs="Times New Roman"/>
          <w:sz w:val="24"/>
          <w:szCs w:val="24"/>
        </w:rPr>
        <w:t xml:space="preserve">Whether PoolRe was a bona fide insurance company was not an issue before the </w:t>
      </w:r>
      <w:r w:rsidRPr="00EC2250">
        <w:rPr>
          <w:rFonts w:ascii="Times New Roman" w:hAnsi="Times New Roman" w:cs="Times New Roman"/>
          <w:i/>
          <w:sz w:val="24"/>
          <w:szCs w:val="24"/>
        </w:rPr>
        <w:t xml:space="preserve">Reserve </w:t>
      </w:r>
      <w:r>
        <w:rPr>
          <w:rFonts w:ascii="Times New Roman" w:hAnsi="Times New Roman" w:cs="Times New Roman"/>
          <w:sz w:val="24"/>
          <w:szCs w:val="24"/>
        </w:rPr>
        <w:t xml:space="preserve">Court; it was </w:t>
      </w:r>
      <w:r w:rsidRPr="00EC2250">
        <w:rPr>
          <w:rFonts w:ascii="Times New Roman" w:hAnsi="Times New Roman" w:cs="Times New Roman"/>
          <w:sz w:val="24"/>
          <w:szCs w:val="24"/>
        </w:rPr>
        <w:t>not contested at trial</w:t>
      </w:r>
      <w:r>
        <w:rPr>
          <w:rFonts w:ascii="Times New Roman" w:hAnsi="Times New Roman" w:cs="Times New Roman"/>
          <w:sz w:val="24"/>
          <w:szCs w:val="24"/>
        </w:rPr>
        <w:t xml:space="preserve">.  Nor </w:t>
      </w:r>
      <w:r w:rsidRPr="00EC2250">
        <w:rPr>
          <w:rFonts w:ascii="Times New Roman" w:hAnsi="Times New Roman" w:cs="Times New Roman"/>
          <w:sz w:val="24"/>
          <w:szCs w:val="24"/>
        </w:rPr>
        <w:t xml:space="preserve">is it a requirement for a risk pool </w:t>
      </w:r>
      <w:bookmarkStart w:id="11" w:name="_Hlk531894860"/>
      <w:r>
        <w:rPr>
          <w:rFonts w:ascii="Times New Roman" w:hAnsi="Times New Roman" w:cs="Times New Roman"/>
          <w:sz w:val="24"/>
          <w:szCs w:val="24"/>
        </w:rPr>
        <w:t xml:space="preserve">to </w:t>
      </w:r>
      <w:r w:rsidRPr="00EC2250">
        <w:rPr>
          <w:rFonts w:ascii="Times New Roman" w:hAnsi="Times New Roman" w:cs="Times New Roman"/>
          <w:sz w:val="24"/>
          <w:szCs w:val="24"/>
        </w:rPr>
        <w:t>achiev</w:t>
      </w:r>
      <w:r>
        <w:rPr>
          <w:rFonts w:ascii="Times New Roman" w:hAnsi="Times New Roman" w:cs="Times New Roman"/>
          <w:sz w:val="24"/>
          <w:szCs w:val="24"/>
        </w:rPr>
        <w:t>e</w:t>
      </w:r>
      <w:r w:rsidRPr="00EC2250">
        <w:rPr>
          <w:rFonts w:ascii="Times New Roman" w:hAnsi="Times New Roman" w:cs="Times New Roman"/>
          <w:sz w:val="24"/>
          <w:szCs w:val="24"/>
        </w:rPr>
        <w:t xml:space="preserve"> risk distribution</w:t>
      </w:r>
      <w:bookmarkEnd w:id="11"/>
      <w:r w:rsidRPr="00EC2250">
        <w:rPr>
          <w:rFonts w:ascii="Times New Roman" w:hAnsi="Times New Roman" w:cs="Times New Roman"/>
          <w:sz w:val="24"/>
          <w:szCs w:val="24"/>
        </w:rPr>
        <w:t>.</w:t>
      </w:r>
      <w:r>
        <w:rPr>
          <w:rFonts w:ascii="Times New Roman" w:hAnsi="Times New Roman" w:cs="Times New Roman"/>
          <w:sz w:val="24"/>
          <w:szCs w:val="24"/>
        </w:rPr>
        <w:t xml:space="preserve">  </w:t>
      </w:r>
      <w:r w:rsidRPr="00EC2250">
        <w:rPr>
          <w:rFonts w:ascii="Times New Roman" w:hAnsi="Times New Roman" w:cs="Times New Roman"/>
          <w:sz w:val="24"/>
          <w:szCs w:val="24"/>
        </w:rPr>
        <w:t xml:space="preserve">In </w:t>
      </w:r>
      <w:r w:rsidRPr="00EC2250">
        <w:rPr>
          <w:rFonts w:ascii="Times New Roman" w:hAnsi="Times New Roman" w:cs="Times New Roman"/>
          <w:i/>
          <w:sz w:val="24"/>
          <w:szCs w:val="24"/>
        </w:rPr>
        <w:t>Reserve</w:t>
      </w:r>
      <w:r w:rsidRPr="00EC2250">
        <w:rPr>
          <w:rFonts w:ascii="Times New Roman" w:hAnsi="Times New Roman" w:cs="Times New Roman"/>
          <w:sz w:val="24"/>
          <w:szCs w:val="24"/>
        </w:rPr>
        <w:t xml:space="preserve">, the government did not present evidence contesting whether PoolRe qualified as a bona fide insurance company.  The issue of PoolRe being an insurance company was never briefed by either party in the </w:t>
      </w:r>
      <w:r>
        <w:rPr>
          <w:rFonts w:ascii="Times New Roman" w:hAnsi="Times New Roman" w:cs="Times New Roman"/>
          <w:sz w:val="24"/>
          <w:szCs w:val="24"/>
        </w:rPr>
        <w:t xml:space="preserve">simultaneous </w:t>
      </w:r>
      <w:r w:rsidRPr="00EC2250">
        <w:rPr>
          <w:rFonts w:ascii="Times New Roman" w:hAnsi="Times New Roman" w:cs="Times New Roman"/>
          <w:sz w:val="24"/>
          <w:szCs w:val="24"/>
        </w:rPr>
        <w:t>post-</w:t>
      </w:r>
      <w:r>
        <w:rPr>
          <w:rFonts w:ascii="Times New Roman" w:hAnsi="Times New Roman" w:cs="Times New Roman"/>
          <w:sz w:val="24"/>
          <w:szCs w:val="24"/>
        </w:rPr>
        <w:t xml:space="preserve">trial opening briefs.  This issue was only briefed for the first time in the </w:t>
      </w:r>
      <w:r w:rsidRPr="00D76B3D">
        <w:rPr>
          <w:rFonts w:ascii="Times New Roman" w:hAnsi="Times New Roman" w:cs="Times New Roman"/>
          <w:sz w:val="24"/>
          <w:szCs w:val="24"/>
        </w:rPr>
        <w:t>simultaneous answering briefs</w:t>
      </w:r>
      <w:r>
        <w:rPr>
          <w:rFonts w:ascii="Times New Roman" w:hAnsi="Times New Roman" w:cs="Times New Roman"/>
          <w:sz w:val="24"/>
          <w:szCs w:val="24"/>
        </w:rPr>
        <w:t xml:space="preserve"> that were filed by both parties after the issuance of the </w:t>
      </w:r>
      <w:r w:rsidRPr="00D76B3D">
        <w:rPr>
          <w:rFonts w:ascii="Times New Roman" w:hAnsi="Times New Roman" w:cs="Times New Roman"/>
          <w:i/>
          <w:sz w:val="24"/>
          <w:szCs w:val="24"/>
        </w:rPr>
        <w:t>Avrahami</w:t>
      </w:r>
      <w:r>
        <w:rPr>
          <w:rFonts w:ascii="Times New Roman" w:hAnsi="Times New Roman" w:cs="Times New Roman"/>
          <w:sz w:val="24"/>
          <w:szCs w:val="24"/>
        </w:rPr>
        <w:t xml:space="preserve"> opinion.</w:t>
      </w:r>
      <w:r>
        <w:rPr>
          <w:rStyle w:val="EndnoteReference"/>
          <w:rFonts w:ascii="Times New Roman" w:hAnsi="Times New Roman" w:cs="Times New Roman"/>
          <w:sz w:val="24"/>
          <w:szCs w:val="24"/>
        </w:rPr>
        <w:endnoteReference w:id="176"/>
      </w:r>
      <w:r>
        <w:rPr>
          <w:rFonts w:ascii="Times New Roman" w:hAnsi="Times New Roman" w:cs="Times New Roman"/>
          <w:sz w:val="24"/>
          <w:szCs w:val="24"/>
        </w:rPr>
        <w:t xml:space="preserve">  Despite there being no contest as to PoolRe being a bona fide insurance company at trial, after </w:t>
      </w:r>
      <w:r w:rsidRPr="00313304">
        <w:rPr>
          <w:rFonts w:ascii="Times New Roman" w:hAnsi="Times New Roman" w:cs="Times New Roman"/>
          <w:i/>
          <w:sz w:val="24"/>
          <w:szCs w:val="24"/>
        </w:rPr>
        <w:t>Avrahami</w:t>
      </w:r>
      <w:r>
        <w:rPr>
          <w:rFonts w:ascii="Times New Roman" w:hAnsi="Times New Roman" w:cs="Times New Roman"/>
          <w:sz w:val="24"/>
          <w:szCs w:val="24"/>
        </w:rPr>
        <w:t xml:space="preserve"> was decided </w:t>
      </w:r>
      <w:r w:rsidRPr="008C2D78">
        <w:rPr>
          <w:rFonts w:ascii="Times New Roman" w:hAnsi="Times New Roman" w:cs="Times New Roman"/>
          <w:b/>
          <w:i/>
          <w:sz w:val="24"/>
          <w:szCs w:val="24"/>
        </w:rPr>
        <w:t>(being</w:t>
      </w:r>
      <w:r>
        <w:rPr>
          <w:rFonts w:ascii="Times New Roman" w:hAnsi="Times New Roman" w:cs="Times New Roman"/>
          <w:sz w:val="24"/>
          <w:szCs w:val="24"/>
        </w:rPr>
        <w:t xml:space="preserve"> </w:t>
      </w:r>
      <w:r w:rsidRPr="005C5219">
        <w:rPr>
          <w:rFonts w:ascii="Times New Roman" w:hAnsi="Times New Roman" w:cs="Times New Roman"/>
          <w:b/>
          <w:i/>
          <w:sz w:val="24"/>
          <w:szCs w:val="24"/>
        </w:rPr>
        <w:t>more than three months after the conclusion of the trial</w:t>
      </w:r>
      <w:r>
        <w:rPr>
          <w:rFonts w:ascii="Times New Roman" w:hAnsi="Times New Roman" w:cs="Times New Roman"/>
          <w:b/>
          <w:i/>
          <w:sz w:val="24"/>
          <w:szCs w:val="24"/>
        </w:rPr>
        <w:t xml:space="preserve"> in Reserve)</w:t>
      </w:r>
      <w:r>
        <w:rPr>
          <w:rFonts w:ascii="Times New Roman" w:hAnsi="Times New Roman" w:cs="Times New Roman"/>
          <w:sz w:val="24"/>
          <w:szCs w:val="24"/>
        </w:rPr>
        <w:t xml:space="preserve">, the Court decided </w:t>
      </w:r>
      <w:r w:rsidRPr="00A5426E">
        <w:rPr>
          <w:rFonts w:ascii="Times New Roman" w:hAnsi="Times New Roman" w:cs="Times New Roman"/>
          <w:i/>
          <w:sz w:val="24"/>
          <w:szCs w:val="24"/>
        </w:rPr>
        <w:t>sua sponte</w:t>
      </w:r>
      <w:r>
        <w:rPr>
          <w:rFonts w:ascii="Times New Roman" w:hAnsi="Times New Roman" w:cs="Times New Roman"/>
          <w:sz w:val="24"/>
          <w:szCs w:val="24"/>
        </w:rPr>
        <w:t xml:space="preserve"> to make this an issue after the fact, requesting that the parties file a post-trial “</w:t>
      </w:r>
      <w:r w:rsidRPr="002327C8">
        <w:rPr>
          <w:rFonts w:ascii="Times New Roman" w:hAnsi="Times New Roman" w:cs="Times New Roman"/>
          <w:sz w:val="24"/>
          <w:szCs w:val="24"/>
        </w:rPr>
        <w:t xml:space="preserve">issues memorandum” to explain the relevancy of the holding in </w:t>
      </w:r>
      <w:r w:rsidRPr="002327C8">
        <w:rPr>
          <w:rFonts w:ascii="Times New Roman" w:hAnsi="Times New Roman" w:cs="Times New Roman"/>
          <w:i/>
          <w:sz w:val="24"/>
          <w:szCs w:val="24"/>
        </w:rPr>
        <w:t>Avrahami</w:t>
      </w:r>
      <w:r w:rsidRPr="002327C8">
        <w:rPr>
          <w:rFonts w:ascii="Times New Roman" w:hAnsi="Times New Roman" w:cs="Times New Roman"/>
          <w:sz w:val="24"/>
          <w:szCs w:val="24"/>
        </w:rPr>
        <w:t xml:space="preserve"> to the facts and issues present in </w:t>
      </w:r>
      <w:r w:rsidRPr="002327C8">
        <w:rPr>
          <w:rFonts w:ascii="Times New Roman" w:hAnsi="Times New Roman" w:cs="Times New Roman"/>
          <w:i/>
          <w:sz w:val="24"/>
          <w:szCs w:val="24"/>
        </w:rPr>
        <w:t>Reserve</w:t>
      </w:r>
      <w:r w:rsidRPr="002327C8">
        <w:rPr>
          <w:rFonts w:ascii="Times New Roman" w:hAnsi="Times New Roman" w:cs="Times New Roman"/>
          <w:sz w:val="24"/>
          <w:szCs w:val="24"/>
        </w:rPr>
        <w:t>.</w:t>
      </w:r>
      <w:r w:rsidRPr="002327C8">
        <w:rPr>
          <w:rStyle w:val="EndnoteReference"/>
          <w:rFonts w:ascii="Times New Roman" w:hAnsi="Times New Roman" w:cs="Times New Roman"/>
          <w:sz w:val="24"/>
          <w:szCs w:val="24"/>
        </w:rPr>
        <w:endnoteReference w:id="177"/>
      </w:r>
      <w:r w:rsidRPr="002327C8">
        <w:rPr>
          <w:rFonts w:ascii="Times New Roman" w:hAnsi="Times New Roman" w:cs="Times New Roman"/>
          <w:sz w:val="24"/>
          <w:szCs w:val="24"/>
        </w:rPr>
        <w:t xml:space="preserve">  Jurisdictionally, a party’s failure to raise an issue at trial or in its opening brief prevents the </w:t>
      </w:r>
      <w:r>
        <w:rPr>
          <w:rFonts w:ascii="Times New Roman" w:hAnsi="Times New Roman" w:cs="Times New Roman"/>
          <w:sz w:val="24"/>
          <w:szCs w:val="24"/>
        </w:rPr>
        <w:t>party from being able to subsequently raise a new issue in its reply brief that was not previously addressed</w:t>
      </w:r>
      <w:r w:rsidRPr="002327C8">
        <w:rPr>
          <w:rFonts w:ascii="Times New Roman" w:hAnsi="Times New Roman" w:cs="Times New Roman"/>
          <w:sz w:val="24"/>
          <w:szCs w:val="24"/>
        </w:rPr>
        <w:t>.</w:t>
      </w:r>
      <w:r w:rsidRPr="002327C8">
        <w:rPr>
          <w:rStyle w:val="EndnoteReference"/>
          <w:rFonts w:ascii="Times New Roman" w:hAnsi="Times New Roman" w:cs="Times New Roman"/>
          <w:sz w:val="24"/>
          <w:szCs w:val="24"/>
        </w:rPr>
        <w:endnoteReference w:id="178"/>
      </w:r>
    </w:p>
    <w:p w14:paraId="21A2A066" w14:textId="1A1C3A87" w:rsidR="00250577" w:rsidRDefault="00250577" w:rsidP="00E60AC4">
      <w:pPr>
        <w:spacing w:after="0" w:line="240" w:lineRule="auto"/>
        <w:rPr>
          <w:rFonts w:ascii="Times New Roman" w:hAnsi="Times New Roman" w:cs="Times New Roman"/>
          <w:sz w:val="24"/>
          <w:szCs w:val="24"/>
        </w:rPr>
      </w:pPr>
    </w:p>
    <w:p w14:paraId="3773F478" w14:textId="4147FA4C" w:rsidR="00250577" w:rsidRDefault="00250577" w:rsidP="00E60A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government devoted 14 pages of its answering brief and 5 pages of its </w:t>
      </w:r>
      <w:r w:rsidRPr="00F92B11">
        <w:rPr>
          <w:rFonts w:ascii="Times New Roman" w:hAnsi="Times New Roman" w:cs="Times New Roman"/>
          <w:i/>
          <w:sz w:val="24"/>
          <w:szCs w:val="24"/>
        </w:rPr>
        <w:t>Avrahami</w:t>
      </w:r>
      <w:r>
        <w:rPr>
          <w:rFonts w:ascii="Times New Roman" w:hAnsi="Times New Roman" w:cs="Times New Roman"/>
          <w:sz w:val="24"/>
          <w:szCs w:val="24"/>
        </w:rPr>
        <w:t xml:space="preserve"> “issues memorandum” to addressing the 9 factors of the “bona fide insurance company” test (applied by the </w:t>
      </w:r>
      <w:r w:rsidRPr="003E4FCE">
        <w:rPr>
          <w:rFonts w:ascii="Times New Roman" w:hAnsi="Times New Roman" w:cs="Times New Roman"/>
          <w:i/>
          <w:sz w:val="24"/>
          <w:szCs w:val="24"/>
        </w:rPr>
        <w:t>Avrahami</w:t>
      </w:r>
      <w:r>
        <w:rPr>
          <w:rFonts w:ascii="Times New Roman" w:hAnsi="Times New Roman" w:cs="Times New Roman"/>
          <w:sz w:val="24"/>
          <w:szCs w:val="24"/>
        </w:rPr>
        <w:t xml:space="preserve"> court to the Pan American pooling arrangement) in its attempt to shoehorn Reserve’s arrangement with PoolRe into this same analysis.  However, in these filings with the Court, the government failed to cite to evidence to support its arguments with respect to each factor.  Nonetheless, Reserve met its burden of proof at trial through its participation in the PoolRe pooling arrangement and further demonstrated at trial that PoolRe was a bona fide insurance company.</w:t>
      </w:r>
      <w:r>
        <w:rPr>
          <w:rStyle w:val="EndnoteReference"/>
          <w:rFonts w:ascii="Times New Roman" w:hAnsi="Times New Roman" w:cs="Times New Roman"/>
          <w:sz w:val="24"/>
          <w:szCs w:val="24"/>
        </w:rPr>
        <w:endnoteReference w:id="179"/>
      </w:r>
    </w:p>
    <w:p w14:paraId="381EB33E" w14:textId="0CCF1B55" w:rsidR="006A2904" w:rsidRDefault="006A2904" w:rsidP="00E60AC4">
      <w:pPr>
        <w:spacing w:after="0" w:line="240" w:lineRule="auto"/>
        <w:rPr>
          <w:rFonts w:ascii="Times New Roman" w:hAnsi="Times New Roman" w:cs="Times New Roman"/>
          <w:sz w:val="24"/>
          <w:szCs w:val="24"/>
        </w:rPr>
      </w:pPr>
    </w:p>
    <w:p w14:paraId="00583C23" w14:textId="6EF3F7B5" w:rsidR="006A2904" w:rsidRPr="00A34758" w:rsidRDefault="006A2904" w:rsidP="00A34758">
      <w:pPr>
        <w:spacing w:after="0" w:line="240" w:lineRule="auto"/>
        <w:jc w:val="center"/>
        <w:rPr>
          <w:rFonts w:ascii="Times New Roman" w:hAnsi="Times New Roman" w:cs="Times New Roman"/>
          <w:sz w:val="24"/>
          <w:szCs w:val="24"/>
        </w:rPr>
      </w:pPr>
      <w:r w:rsidRPr="00A34758">
        <w:rPr>
          <w:rFonts w:ascii="Times New Roman" w:hAnsi="Times New Roman" w:cs="Times New Roman"/>
          <w:sz w:val="24"/>
          <w:szCs w:val="24"/>
        </w:rPr>
        <w:t>*                 *                 *</w:t>
      </w:r>
    </w:p>
    <w:p w14:paraId="2F1A4C08" w14:textId="77777777" w:rsidR="005F78D8" w:rsidRDefault="005F78D8" w:rsidP="00A34758">
      <w:pPr>
        <w:spacing w:after="0" w:line="240" w:lineRule="auto"/>
        <w:jc w:val="center"/>
        <w:rPr>
          <w:rFonts w:ascii="Times New Roman" w:hAnsi="Times New Roman" w:cs="Times New Roman"/>
          <w:sz w:val="24"/>
          <w:szCs w:val="24"/>
        </w:rPr>
      </w:pPr>
    </w:p>
    <w:p w14:paraId="1EE39890" w14:textId="7FEDB2A5" w:rsidR="00905BFE" w:rsidRDefault="005E4119" w:rsidP="00E60A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analyzing insurance for federal income tax purposes, the </w:t>
      </w:r>
      <w:r w:rsidR="004857B5">
        <w:rPr>
          <w:rFonts w:ascii="Times New Roman" w:hAnsi="Times New Roman" w:cs="Times New Roman"/>
          <w:sz w:val="24"/>
          <w:szCs w:val="24"/>
        </w:rPr>
        <w:t xml:space="preserve">Court in </w:t>
      </w:r>
      <w:r w:rsidR="004857B5" w:rsidRPr="009333E0">
        <w:rPr>
          <w:rFonts w:ascii="Times New Roman" w:hAnsi="Times New Roman" w:cs="Times New Roman"/>
          <w:i/>
          <w:sz w:val="24"/>
          <w:szCs w:val="24"/>
        </w:rPr>
        <w:t>Reserve</w:t>
      </w:r>
      <w:r w:rsidR="004857B5">
        <w:rPr>
          <w:rFonts w:ascii="Times New Roman" w:hAnsi="Times New Roman" w:cs="Times New Roman"/>
          <w:sz w:val="24"/>
          <w:szCs w:val="24"/>
        </w:rPr>
        <w:t xml:space="preserve"> </w:t>
      </w:r>
      <w:r w:rsidR="00215B2D">
        <w:rPr>
          <w:rFonts w:ascii="Times New Roman" w:hAnsi="Times New Roman" w:cs="Times New Roman"/>
          <w:sz w:val="24"/>
          <w:szCs w:val="24"/>
        </w:rPr>
        <w:t xml:space="preserve">did not base its analysis on </w:t>
      </w:r>
      <w:r w:rsidR="00900646">
        <w:rPr>
          <w:rFonts w:ascii="Times New Roman" w:hAnsi="Times New Roman" w:cs="Times New Roman"/>
          <w:sz w:val="24"/>
          <w:szCs w:val="24"/>
        </w:rPr>
        <w:t xml:space="preserve">recognized </w:t>
      </w:r>
      <w:r w:rsidR="005C6737">
        <w:rPr>
          <w:rFonts w:ascii="Times New Roman" w:hAnsi="Times New Roman" w:cs="Times New Roman"/>
          <w:sz w:val="24"/>
          <w:szCs w:val="24"/>
        </w:rPr>
        <w:t xml:space="preserve">legal </w:t>
      </w:r>
      <w:r w:rsidR="00215B2D">
        <w:rPr>
          <w:rFonts w:ascii="Times New Roman" w:hAnsi="Times New Roman" w:cs="Times New Roman"/>
          <w:sz w:val="24"/>
          <w:szCs w:val="24"/>
        </w:rPr>
        <w:t xml:space="preserve">concepts </w:t>
      </w:r>
      <w:r w:rsidR="00B37B07">
        <w:rPr>
          <w:rFonts w:ascii="Times New Roman" w:hAnsi="Times New Roman" w:cs="Times New Roman"/>
          <w:sz w:val="24"/>
          <w:szCs w:val="24"/>
        </w:rPr>
        <w:t xml:space="preserve">that courts </w:t>
      </w:r>
      <w:r w:rsidR="00900646">
        <w:rPr>
          <w:rFonts w:ascii="Times New Roman" w:hAnsi="Times New Roman" w:cs="Times New Roman"/>
          <w:sz w:val="24"/>
          <w:szCs w:val="24"/>
        </w:rPr>
        <w:t xml:space="preserve">have set out </w:t>
      </w:r>
      <w:r w:rsidR="00942F67">
        <w:rPr>
          <w:rFonts w:ascii="Times New Roman" w:hAnsi="Times New Roman" w:cs="Times New Roman"/>
          <w:sz w:val="24"/>
          <w:szCs w:val="24"/>
        </w:rPr>
        <w:t>over the last three-quarters of a century</w:t>
      </w:r>
      <w:r w:rsidR="00701E9F">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09211C">
        <w:rPr>
          <w:rFonts w:ascii="Times New Roman" w:hAnsi="Times New Roman" w:cs="Times New Roman"/>
          <w:sz w:val="24"/>
          <w:szCs w:val="24"/>
        </w:rPr>
        <w:t>Court</w:t>
      </w:r>
      <w:r w:rsidR="00170032">
        <w:rPr>
          <w:rFonts w:ascii="Times New Roman" w:hAnsi="Times New Roman" w:cs="Times New Roman"/>
          <w:sz w:val="24"/>
          <w:szCs w:val="24"/>
        </w:rPr>
        <w:t xml:space="preserve"> </w:t>
      </w:r>
      <w:r w:rsidR="00262F03">
        <w:rPr>
          <w:rFonts w:ascii="Times New Roman" w:hAnsi="Times New Roman" w:cs="Times New Roman"/>
          <w:sz w:val="24"/>
          <w:szCs w:val="24"/>
        </w:rPr>
        <w:t xml:space="preserve">made numerous findings that were not supported by the evidence on </w:t>
      </w:r>
      <w:r w:rsidR="00F47721">
        <w:rPr>
          <w:rFonts w:ascii="Times New Roman" w:hAnsi="Times New Roman" w:cs="Times New Roman"/>
          <w:sz w:val="24"/>
          <w:szCs w:val="24"/>
        </w:rPr>
        <w:t xml:space="preserve">uncontested </w:t>
      </w:r>
      <w:r w:rsidR="00262F03">
        <w:rPr>
          <w:rFonts w:ascii="Times New Roman" w:hAnsi="Times New Roman" w:cs="Times New Roman"/>
          <w:sz w:val="24"/>
          <w:szCs w:val="24"/>
        </w:rPr>
        <w:t xml:space="preserve">issues </w:t>
      </w:r>
      <w:r w:rsidR="00F47721">
        <w:rPr>
          <w:rFonts w:ascii="Times New Roman" w:hAnsi="Times New Roman" w:cs="Times New Roman"/>
          <w:sz w:val="24"/>
          <w:szCs w:val="24"/>
        </w:rPr>
        <w:t xml:space="preserve">for which the </w:t>
      </w:r>
      <w:r w:rsidR="00262F03">
        <w:rPr>
          <w:rFonts w:ascii="Times New Roman" w:hAnsi="Times New Roman" w:cs="Times New Roman"/>
          <w:sz w:val="24"/>
          <w:szCs w:val="24"/>
        </w:rPr>
        <w:t>government</w:t>
      </w:r>
      <w:r w:rsidR="00F47721">
        <w:rPr>
          <w:rFonts w:ascii="Times New Roman" w:hAnsi="Times New Roman" w:cs="Times New Roman"/>
          <w:sz w:val="24"/>
          <w:szCs w:val="24"/>
        </w:rPr>
        <w:t xml:space="preserve"> did not offer any evidence</w:t>
      </w:r>
      <w:r>
        <w:rPr>
          <w:rFonts w:ascii="Times New Roman" w:hAnsi="Times New Roman" w:cs="Times New Roman"/>
          <w:sz w:val="24"/>
          <w:szCs w:val="24"/>
        </w:rPr>
        <w:t xml:space="preserve">.  </w:t>
      </w:r>
      <w:r w:rsidR="00C33623">
        <w:rPr>
          <w:rFonts w:ascii="Times New Roman" w:hAnsi="Times New Roman" w:cs="Times New Roman"/>
          <w:sz w:val="24"/>
          <w:szCs w:val="24"/>
        </w:rPr>
        <w:t xml:space="preserve">Instead, the </w:t>
      </w:r>
      <w:r w:rsidR="009401D0">
        <w:rPr>
          <w:rFonts w:ascii="Times New Roman" w:hAnsi="Times New Roman" w:cs="Times New Roman"/>
          <w:sz w:val="24"/>
          <w:szCs w:val="24"/>
        </w:rPr>
        <w:t>C</w:t>
      </w:r>
      <w:r w:rsidR="00C33623">
        <w:rPr>
          <w:rFonts w:ascii="Times New Roman" w:hAnsi="Times New Roman" w:cs="Times New Roman"/>
          <w:sz w:val="24"/>
          <w:szCs w:val="24"/>
        </w:rPr>
        <w:t xml:space="preserve">ourt </w:t>
      </w:r>
      <w:r w:rsidR="00701E9F">
        <w:rPr>
          <w:rFonts w:ascii="Times New Roman" w:hAnsi="Times New Roman" w:cs="Times New Roman"/>
          <w:sz w:val="24"/>
          <w:szCs w:val="24"/>
        </w:rPr>
        <w:t xml:space="preserve">(encouraged by the government) </w:t>
      </w:r>
      <w:r w:rsidR="00C33623">
        <w:rPr>
          <w:rFonts w:ascii="Times New Roman" w:hAnsi="Times New Roman" w:cs="Times New Roman"/>
          <w:sz w:val="24"/>
          <w:szCs w:val="24"/>
        </w:rPr>
        <w:t xml:space="preserve">imposed </w:t>
      </w:r>
      <w:r w:rsidR="0097552F">
        <w:rPr>
          <w:rFonts w:ascii="Times New Roman" w:hAnsi="Times New Roman" w:cs="Times New Roman"/>
          <w:sz w:val="24"/>
          <w:szCs w:val="24"/>
        </w:rPr>
        <w:t>self-</w:t>
      </w:r>
      <w:r w:rsidR="00C33623">
        <w:rPr>
          <w:rFonts w:ascii="Times New Roman" w:hAnsi="Times New Roman" w:cs="Times New Roman"/>
          <w:sz w:val="24"/>
          <w:szCs w:val="24"/>
        </w:rPr>
        <w:t xml:space="preserve">crafted </w:t>
      </w:r>
      <w:r w:rsidR="004E167E">
        <w:rPr>
          <w:rFonts w:ascii="Times New Roman" w:hAnsi="Times New Roman" w:cs="Times New Roman"/>
          <w:sz w:val="24"/>
          <w:szCs w:val="24"/>
        </w:rPr>
        <w:t xml:space="preserve">requirements </w:t>
      </w:r>
      <w:r w:rsidR="008C3BE8">
        <w:rPr>
          <w:rFonts w:ascii="Times New Roman" w:hAnsi="Times New Roman" w:cs="Times New Roman"/>
          <w:sz w:val="24"/>
          <w:szCs w:val="24"/>
        </w:rPr>
        <w:t>(</w:t>
      </w:r>
      <w:r w:rsidR="00C33623">
        <w:rPr>
          <w:rFonts w:ascii="Times New Roman" w:hAnsi="Times New Roman" w:cs="Times New Roman"/>
          <w:sz w:val="24"/>
          <w:szCs w:val="24"/>
        </w:rPr>
        <w:t>not even suggested by the parties</w:t>
      </w:r>
      <w:r w:rsidR="008C3BE8">
        <w:rPr>
          <w:rFonts w:ascii="Times New Roman" w:hAnsi="Times New Roman" w:cs="Times New Roman"/>
          <w:sz w:val="24"/>
          <w:szCs w:val="24"/>
        </w:rPr>
        <w:t>)</w:t>
      </w:r>
      <w:r w:rsidR="000C465E">
        <w:rPr>
          <w:rFonts w:ascii="Times New Roman" w:hAnsi="Times New Roman" w:cs="Times New Roman"/>
          <w:sz w:val="24"/>
          <w:szCs w:val="24"/>
        </w:rPr>
        <w:t xml:space="preserve">, </w:t>
      </w:r>
      <w:r w:rsidR="008C3BE8">
        <w:rPr>
          <w:rFonts w:ascii="Times New Roman" w:hAnsi="Times New Roman" w:cs="Times New Roman"/>
          <w:sz w:val="24"/>
          <w:szCs w:val="24"/>
        </w:rPr>
        <w:t>which</w:t>
      </w:r>
      <w:r w:rsidR="00C33623">
        <w:rPr>
          <w:rFonts w:ascii="Times New Roman" w:hAnsi="Times New Roman" w:cs="Times New Roman"/>
          <w:sz w:val="24"/>
          <w:szCs w:val="24"/>
        </w:rPr>
        <w:t xml:space="preserve"> </w:t>
      </w:r>
      <w:r w:rsidR="004E167E">
        <w:rPr>
          <w:rFonts w:ascii="Times New Roman" w:hAnsi="Times New Roman" w:cs="Times New Roman"/>
          <w:sz w:val="24"/>
          <w:szCs w:val="24"/>
        </w:rPr>
        <w:t xml:space="preserve">were </w:t>
      </w:r>
      <w:r w:rsidR="00C33623">
        <w:rPr>
          <w:rFonts w:ascii="Times New Roman" w:hAnsi="Times New Roman" w:cs="Times New Roman"/>
          <w:sz w:val="24"/>
          <w:szCs w:val="24"/>
        </w:rPr>
        <w:t>not contested issue</w:t>
      </w:r>
      <w:r w:rsidR="0099566F">
        <w:rPr>
          <w:rFonts w:ascii="Times New Roman" w:hAnsi="Times New Roman" w:cs="Times New Roman"/>
          <w:sz w:val="24"/>
          <w:szCs w:val="24"/>
        </w:rPr>
        <w:t>s</w:t>
      </w:r>
      <w:r w:rsidR="00C33623">
        <w:rPr>
          <w:rFonts w:ascii="Times New Roman" w:hAnsi="Times New Roman" w:cs="Times New Roman"/>
          <w:sz w:val="24"/>
          <w:szCs w:val="24"/>
        </w:rPr>
        <w:t xml:space="preserve"> in </w:t>
      </w:r>
      <w:r w:rsidR="00272573">
        <w:rPr>
          <w:rFonts w:ascii="Times New Roman" w:hAnsi="Times New Roman" w:cs="Times New Roman"/>
          <w:sz w:val="24"/>
          <w:szCs w:val="24"/>
        </w:rPr>
        <w:t xml:space="preserve">the </w:t>
      </w:r>
      <w:r w:rsidR="00C33623" w:rsidRPr="0099566F">
        <w:rPr>
          <w:rFonts w:ascii="Times New Roman" w:hAnsi="Times New Roman" w:cs="Times New Roman"/>
          <w:i/>
          <w:sz w:val="24"/>
          <w:szCs w:val="24"/>
        </w:rPr>
        <w:t>Reserve</w:t>
      </w:r>
      <w:r w:rsidR="00C33623">
        <w:rPr>
          <w:rFonts w:ascii="Times New Roman" w:hAnsi="Times New Roman" w:cs="Times New Roman"/>
          <w:sz w:val="24"/>
          <w:szCs w:val="24"/>
        </w:rPr>
        <w:t xml:space="preserve"> </w:t>
      </w:r>
      <w:r w:rsidR="00272573">
        <w:rPr>
          <w:rFonts w:ascii="Times New Roman" w:hAnsi="Times New Roman" w:cs="Times New Roman"/>
          <w:sz w:val="24"/>
          <w:szCs w:val="24"/>
        </w:rPr>
        <w:t xml:space="preserve">trial </w:t>
      </w:r>
      <w:r w:rsidR="00C33623">
        <w:rPr>
          <w:rFonts w:ascii="Times New Roman" w:hAnsi="Times New Roman" w:cs="Times New Roman"/>
          <w:sz w:val="24"/>
          <w:szCs w:val="24"/>
        </w:rPr>
        <w:t>(e.g., whether PoolRe is a</w:t>
      </w:r>
      <w:r w:rsidR="00F319E9">
        <w:rPr>
          <w:rFonts w:ascii="Times New Roman" w:hAnsi="Times New Roman" w:cs="Times New Roman"/>
          <w:sz w:val="24"/>
          <w:szCs w:val="24"/>
        </w:rPr>
        <w:t xml:space="preserve"> bona fide</w:t>
      </w:r>
      <w:r w:rsidR="00C33623">
        <w:rPr>
          <w:rFonts w:ascii="Times New Roman" w:hAnsi="Times New Roman" w:cs="Times New Roman"/>
          <w:sz w:val="24"/>
          <w:szCs w:val="24"/>
        </w:rPr>
        <w:t xml:space="preserve"> insurance company)</w:t>
      </w:r>
      <w:r w:rsidR="000C465E">
        <w:rPr>
          <w:rFonts w:ascii="Times New Roman" w:hAnsi="Times New Roman" w:cs="Times New Roman"/>
          <w:sz w:val="24"/>
          <w:szCs w:val="24"/>
        </w:rPr>
        <w:t>.</w:t>
      </w:r>
    </w:p>
    <w:p w14:paraId="1C6094FF" w14:textId="77777777" w:rsidR="00905BFE" w:rsidRDefault="00905BFE" w:rsidP="00E60AC4">
      <w:pPr>
        <w:spacing w:after="0" w:line="240" w:lineRule="auto"/>
        <w:rPr>
          <w:rFonts w:ascii="Times New Roman" w:hAnsi="Times New Roman" w:cs="Times New Roman"/>
          <w:sz w:val="24"/>
          <w:szCs w:val="24"/>
        </w:rPr>
      </w:pPr>
    </w:p>
    <w:p w14:paraId="0D7E1389" w14:textId="64CC34EB" w:rsidR="006E209B" w:rsidRPr="00BD6757" w:rsidRDefault="00564094" w:rsidP="00DC1AB9">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8C4137" w:rsidRPr="0036725A">
        <w:rPr>
          <w:rFonts w:ascii="Times New Roman" w:hAnsi="Times New Roman" w:cs="Times New Roman"/>
          <w:sz w:val="24"/>
          <w:szCs w:val="24"/>
        </w:rPr>
        <w:t xml:space="preserve">ommentary </w:t>
      </w:r>
      <w:r>
        <w:rPr>
          <w:rFonts w:ascii="Times New Roman" w:hAnsi="Times New Roman" w:cs="Times New Roman"/>
          <w:sz w:val="24"/>
          <w:szCs w:val="24"/>
        </w:rPr>
        <w:t xml:space="preserve">No. 4 </w:t>
      </w:r>
      <w:r w:rsidR="008C4137" w:rsidRPr="0036725A">
        <w:rPr>
          <w:rFonts w:ascii="Times New Roman" w:hAnsi="Times New Roman" w:cs="Times New Roman"/>
          <w:sz w:val="24"/>
          <w:szCs w:val="24"/>
        </w:rPr>
        <w:t>address</w:t>
      </w:r>
      <w:r>
        <w:rPr>
          <w:rFonts w:ascii="Times New Roman" w:hAnsi="Times New Roman" w:cs="Times New Roman"/>
          <w:sz w:val="24"/>
          <w:szCs w:val="24"/>
        </w:rPr>
        <w:t>es</w:t>
      </w:r>
      <w:r w:rsidR="008C4137" w:rsidRPr="0036725A">
        <w:rPr>
          <w:rFonts w:ascii="Times New Roman" w:hAnsi="Times New Roman" w:cs="Times New Roman"/>
          <w:sz w:val="24"/>
          <w:szCs w:val="24"/>
        </w:rPr>
        <w:t xml:space="preserve"> </w:t>
      </w:r>
      <w:r w:rsidR="00DF76F0">
        <w:rPr>
          <w:rFonts w:ascii="Times New Roman" w:hAnsi="Times New Roman" w:cs="Times New Roman"/>
          <w:sz w:val="24"/>
          <w:szCs w:val="24"/>
        </w:rPr>
        <w:t xml:space="preserve">further </w:t>
      </w:r>
      <w:r w:rsidR="008C4137" w:rsidRPr="0036725A">
        <w:rPr>
          <w:rFonts w:ascii="Times New Roman" w:hAnsi="Times New Roman" w:cs="Times New Roman"/>
          <w:sz w:val="24"/>
          <w:szCs w:val="24"/>
        </w:rPr>
        <w:t xml:space="preserve">issues </w:t>
      </w:r>
      <w:r w:rsidR="00EB21AB">
        <w:rPr>
          <w:rFonts w:ascii="Times New Roman" w:hAnsi="Times New Roman" w:cs="Times New Roman"/>
          <w:sz w:val="24"/>
          <w:szCs w:val="24"/>
        </w:rPr>
        <w:t>with respect to</w:t>
      </w:r>
      <w:r w:rsidR="008C4137" w:rsidRPr="0036725A">
        <w:rPr>
          <w:rFonts w:ascii="Times New Roman" w:hAnsi="Times New Roman" w:cs="Times New Roman"/>
          <w:sz w:val="24"/>
          <w:szCs w:val="24"/>
        </w:rPr>
        <w:t xml:space="preserve"> </w:t>
      </w:r>
      <w:r w:rsidR="008C4137">
        <w:rPr>
          <w:rFonts w:ascii="Times New Roman" w:hAnsi="Times New Roman" w:cs="Times New Roman"/>
          <w:sz w:val="24"/>
          <w:szCs w:val="24"/>
        </w:rPr>
        <w:t xml:space="preserve">the Court’s erroneous application of </w:t>
      </w:r>
      <w:r w:rsidR="008C4137" w:rsidRPr="0058140B">
        <w:rPr>
          <w:rFonts w:ascii="Times New Roman" w:hAnsi="Times New Roman" w:cs="Times New Roman"/>
          <w:i/>
          <w:sz w:val="24"/>
          <w:szCs w:val="24"/>
        </w:rPr>
        <w:t>Avrahami</w:t>
      </w:r>
      <w:r w:rsidR="00DF76F0">
        <w:rPr>
          <w:rFonts w:ascii="Times New Roman" w:hAnsi="Times New Roman" w:cs="Times New Roman"/>
          <w:sz w:val="24"/>
          <w:szCs w:val="24"/>
        </w:rPr>
        <w:t xml:space="preserve"> </w:t>
      </w:r>
      <w:r w:rsidR="008C4137">
        <w:rPr>
          <w:rFonts w:ascii="Times New Roman" w:hAnsi="Times New Roman" w:cs="Times New Roman"/>
          <w:sz w:val="24"/>
          <w:szCs w:val="24"/>
        </w:rPr>
        <w:t xml:space="preserve">as authority for its many findings </w:t>
      </w:r>
      <w:r w:rsidR="00DF46A5">
        <w:rPr>
          <w:rFonts w:ascii="Times New Roman" w:hAnsi="Times New Roman" w:cs="Times New Roman"/>
          <w:sz w:val="24"/>
          <w:szCs w:val="24"/>
        </w:rPr>
        <w:t>a</w:t>
      </w:r>
      <w:r w:rsidR="00F64D8E">
        <w:rPr>
          <w:rFonts w:ascii="Times New Roman" w:hAnsi="Times New Roman" w:cs="Times New Roman"/>
          <w:sz w:val="24"/>
          <w:szCs w:val="24"/>
        </w:rPr>
        <w:t xml:space="preserve">nd the “shoehorn approach” that was employed by the Court in </w:t>
      </w:r>
      <w:r w:rsidR="00092E2D">
        <w:rPr>
          <w:rFonts w:ascii="Times New Roman" w:hAnsi="Times New Roman" w:cs="Times New Roman"/>
          <w:sz w:val="24"/>
          <w:szCs w:val="24"/>
        </w:rPr>
        <w:t xml:space="preserve">its </w:t>
      </w:r>
      <w:r w:rsidR="00092E2D" w:rsidRPr="00092E2D">
        <w:rPr>
          <w:rFonts w:ascii="Times New Roman" w:hAnsi="Times New Roman" w:cs="Times New Roman"/>
          <w:sz w:val="24"/>
          <w:szCs w:val="24"/>
        </w:rPr>
        <w:t xml:space="preserve">attempt to </w:t>
      </w:r>
      <w:r w:rsidR="0009211C">
        <w:rPr>
          <w:rFonts w:ascii="Times New Roman" w:hAnsi="Times New Roman" w:cs="Times New Roman"/>
          <w:sz w:val="24"/>
          <w:szCs w:val="24"/>
        </w:rPr>
        <w:t>fit</w:t>
      </w:r>
      <w:r w:rsidR="00092E2D" w:rsidRPr="00092E2D">
        <w:rPr>
          <w:rFonts w:ascii="Times New Roman" w:hAnsi="Times New Roman" w:cs="Times New Roman"/>
          <w:sz w:val="24"/>
          <w:szCs w:val="24"/>
        </w:rPr>
        <w:t xml:space="preserve"> </w:t>
      </w:r>
      <w:r w:rsidR="00092E2D" w:rsidRPr="00A74374">
        <w:rPr>
          <w:rFonts w:ascii="Times New Roman" w:hAnsi="Times New Roman" w:cs="Times New Roman"/>
          <w:i/>
          <w:sz w:val="24"/>
          <w:szCs w:val="24"/>
        </w:rPr>
        <w:t>Reserve</w:t>
      </w:r>
      <w:r w:rsidR="00092E2D" w:rsidRPr="00092E2D">
        <w:rPr>
          <w:rFonts w:ascii="Times New Roman" w:hAnsi="Times New Roman" w:cs="Times New Roman"/>
          <w:sz w:val="24"/>
          <w:szCs w:val="24"/>
        </w:rPr>
        <w:t xml:space="preserve">’s facts </w:t>
      </w:r>
      <w:r w:rsidR="00DF76F0">
        <w:rPr>
          <w:rFonts w:ascii="Times New Roman" w:hAnsi="Times New Roman" w:cs="Times New Roman"/>
          <w:sz w:val="24"/>
          <w:szCs w:val="24"/>
        </w:rPr>
        <w:t xml:space="preserve">into </w:t>
      </w:r>
      <w:r w:rsidR="00092E2D" w:rsidRPr="00092E2D">
        <w:rPr>
          <w:rFonts w:ascii="Times New Roman" w:hAnsi="Times New Roman" w:cs="Times New Roman"/>
          <w:sz w:val="24"/>
          <w:szCs w:val="24"/>
        </w:rPr>
        <w:t xml:space="preserve">the legal </w:t>
      </w:r>
      <w:r w:rsidR="00DF76F0">
        <w:rPr>
          <w:rFonts w:ascii="Times New Roman" w:hAnsi="Times New Roman" w:cs="Times New Roman"/>
          <w:sz w:val="24"/>
          <w:szCs w:val="24"/>
        </w:rPr>
        <w:t xml:space="preserve">standards </w:t>
      </w:r>
      <w:r w:rsidR="00092E2D" w:rsidRPr="00092E2D">
        <w:rPr>
          <w:rFonts w:ascii="Times New Roman" w:hAnsi="Times New Roman" w:cs="Times New Roman"/>
          <w:sz w:val="24"/>
          <w:szCs w:val="24"/>
        </w:rPr>
        <w:t xml:space="preserve">of </w:t>
      </w:r>
      <w:r w:rsidR="00092E2D" w:rsidRPr="00092E2D">
        <w:rPr>
          <w:rFonts w:ascii="Times New Roman" w:hAnsi="Times New Roman" w:cs="Times New Roman"/>
          <w:i/>
          <w:sz w:val="24"/>
          <w:szCs w:val="24"/>
        </w:rPr>
        <w:t>Avrahami</w:t>
      </w:r>
      <w:r w:rsidR="00092E2D">
        <w:rPr>
          <w:rFonts w:ascii="Times New Roman" w:hAnsi="Times New Roman" w:cs="Times New Roman"/>
          <w:sz w:val="24"/>
          <w:szCs w:val="24"/>
        </w:rPr>
        <w:t>.</w:t>
      </w:r>
    </w:p>
    <w:sectPr w:rsidR="006E209B" w:rsidRPr="00BD6757" w:rsidSect="00EE5974">
      <w:footerReference w:type="default" r:id="rId19"/>
      <w:endnotePr>
        <w:numFmt w:val="decimal"/>
      </w:endnotePr>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77971" w14:textId="77777777" w:rsidR="00FC046A" w:rsidRDefault="00FC046A" w:rsidP="00364083">
      <w:pPr>
        <w:spacing w:after="0" w:line="240" w:lineRule="auto"/>
      </w:pPr>
      <w:r>
        <w:separator/>
      </w:r>
    </w:p>
  </w:endnote>
  <w:endnote w:type="continuationSeparator" w:id="0">
    <w:p w14:paraId="3B96BB49" w14:textId="77777777" w:rsidR="00FC046A" w:rsidRDefault="00FC046A" w:rsidP="00364083">
      <w:pPr>
        <w:spacing w:after="0" w:line="240" w:lineRule="auto"/>
      </w:pPr>
      <w:r>
        <w:continuationSeparator/>
      </w:r>
    </w:p>
  </w:endnote>
  <w:endnote w:type="continuationNotice" w:id="1">
    <w:p w14:paraId="0E45D113" w14:textId="77777777" w:rsidR="00FC046A" w:rsidRDefault="00FC046A">
      <w:pPr>
        <w:spacing w:after="0" w:line="240" w:lineRule="auto"/>
      </w:pPr>
    </w:p>
  </w:endnote>
  <w:endnote w:id="2">
    <w:p w14:paraId="38C033EE" w14:textId="0ACFC742" w:rsidR="00FC046A" w:rsidRPr="0033576A" w:rsidRDefault="00FC046A">
      <w:pPr>
        <w:pStyle w:val="EndnoteText"/>
        <w:rPr>
          <w:rFonts w:ascii="Times New Roman" w:hAnsi="Times New Roman" w:cs="Times New Roman"/>
          <w:sz w:val="22"/>
          <w:szCs w:val="22"/>
        </w:rPr>
      </w:pPr>
      <w:r w:rsidRPr="0033576A">
        <w:rPr>
          <w:rStyle w:val="EndnoteReference"/>
          <w:rFonts w:ascii="Times New Roman" w:hAnsi="Times New Roman" w:cs="Times New Roman"/>
          <w:sz w:val="22"/>
          <w:szCs w:val="22"/>
        </w:rPr>
        <w:endnoteRef/>
      </w:r>
      <w:r w:rsidRPr="0033576A">
        <w:rPr>
          <w:rFonts w:ascii="Times New Roman" w:hAnsi="Times New Roman" w:cs="Times New Roman"/>
          <w:sz w:val="22"/>
          <w:szCs w:val="22"/>
        </w:rPr>
        <w:t xml:space="preserve"> </w:t>
      </w:r>
      <w:bookmarkStart w:id="3" w:name="_Hlk524362068"/>
      <w:r w:rsidRPr="00935128">
        <w:rPr>
          <w:rFonts w:ascii="Times New Roman" w:hAnsi="Times New Roman" w:cs="Times New Roman"/>
          <w:sz w:val="22"/>
          <w:szCs w:val="22"/>
        </w:rPr>
        <w:t>See</w:t>
      </w:r>
      <w:r w:rsidRPr="0033576A">
        <w:rPr>
          <w:rFonts w:ascii="Times New Roman" w:hAnsi="Times New Roman" w:cs="Times New Roman"/>
          <w:sz w:val="22"/>
          <w:szCs w:val="22"/>
        </w:rPr>
        <w:t xml:space="preserve"> testimony of Norman Zumbaum, Tr</w:t>
      </w:r>
      <w:r>
        <w:rPr>
          <w:rFonts w:ascii="Times New Roman" w:hAnsi="Times New Roman" w:cs="Times New Roman"/>
          <w:sz w:val="22"/>
          <w:szCs w:val="22"/>
        </w:rPr>
        <w:t>.</w:t>
      </w:r>
      <w:r w:rsidRPr="0033576A">
        <w:rPr>
          <w:rFonts w:ascii="Times New Roman" w:hAnsi="Times New Roman" w:cs="Times New Roman"/>
          <w:sz w:val="22"/>
          <w:szCs w:val="22"/>
        </w:rPr>
        <w:t xml:space="preserve"> at 112-113.</w:t>
      </w:r>
      <w:bookmarkEnd w:id="3"/>
    </w:p>
    <w:p w14:paraId="4094FE0A" w14:textId="77777777" w:rsidR="00FC046A" w:rsidRPr="00262021" w:rsidRDefault="00FC046A">
      <w:pPr>
        <w:pStyle w:val="EndnoteText"/>
        <w:rPr>
          <w:rFonts w:ascii="Times New Roman" w:hAnsi="Times New Roman" w:cs="Times New Roman"/>
          <w:sz w:val="22"/>
          <w:szCs w:val="22"/>
        </w:rPr>
      </w:pPr>
    </w:p>
  </w:endnote>
  <w:endnote w:id="3">
    <w:p w14:paraId="2EE29189" w14:textId="601BF4CF" w:rsidR="00FC046A" w:rsidRDefault="00FC046A">
      <w:pPr>
        <w:pStyle w:val="EndnoteText"/>
        <w:rPr>
          <w:rFonts w:ascii="Times New Roman" w:hAnsi="Times New Roman" w:cs="Times New Roman"/>
          <w:sz w:val="22"/>
          <w:szCs w:val="22"/>
        </w:rPr>
      </w:pPr>
      <w:r w:rsidRPr="00262021">
        <w:rPr>
          <w:rStyle w:val="EndnoteReference"/>
          <w:rFonts w:ascii="Times New Roman" w:hAnsi="Times New Roman" w:cs="Times New Roman"/>
          <w:sz w:val="22"/>
          <w:szCs w:val="22"/>
        </w:rPr>
        <w:endnoteRef/>
      </w:r>
      <w:r w:rsidRPr="00262021">
        <w:rPr>
          <w:rFonts w:ascii="Times New Roman" w:hAnsi="Times New Roman" w:cs="Times New Roman"/>
          <w:sz w:val="22"/>
          <w:szCs w:val="22"/>
        </w:rPr>
        <w:t xml:space="preserve"> </w:t>
      </w:r>
      <w:r w:rsidRPr="00CB5230">
        <w:rPr>
          <w:rFonts w:ascii="Times New Roman" w:hAnsi="Times New Roman" w:cs="Times New Roman"/>
          <w:sz w:val="22"/>
          <w:szCs w:val="22"/>
        </w:rPr>
        <w:t>See</w:t>
      </w:r>
      <w:r w:rsidRPr="00262021">
        <w:rPr>
          <w:rFonts w:ascii="Times New Roman" w:hAnsi="Times New Roman" w:cs="Times New Roman"/>
          <w:sz w:val="22"/>
          <w:szCs w:val="22"/>
        </w:rPr>
        <w:t xml:space="preserve"> </w:t>
      </w:r>
      <w:r>
        <w:rPr>
          <w:rFonts w:ascii="Times New Roman" w:hAnsi="Times New Roman" w:cs="Times New Roman"/>
          <w:sz w:val="22"/>
          <w:szCs w:val="22"/>
        </w:rPr>
        <w:t>Tr.</w:t>
      </w:r>
      <w:r w:rsidRPr="00262021">
        <w:rPr>
          <w:rFonts w:ascii="Times New Roman" w:hAnsi="Times New Roman" w:cs="Times New Roman"/>
          <w:sz w:val="22"/>
          <w:szCs w:val="22"/>
        </w:rPr>
        <w:t xml:space="preserve"> at 11</w:t>
      </w:r>
      <w:r>
        <w:rPr>
          <w:rFonts w:ascii="Times New Roman" w:hAnsi="Times New Roman" w:cs="Times New Roman"/>
          <w:sz w:val="22"/>
          <w:szCs w:val="22"/>
        </w:rPr>
        <w:t>4</w:t>
      </w:r>
      <w:r w:rsidRPr="00262021">
        <w:rPr>
          <w:rFonts w:ascii="Times New Roman" w:hAnsi="Times New Roman" w:cs="Times New Roman"/>
          <w:sz w:val="22"/>
          <w:szCs w:val="22"/>
        </w:rPr>
        <w:t>-11</w:t>
      </w:r>
      <w:r>
        <w:rPr>
          <w:rFonts w:ascii="Times New Roman" w:hAnsi="Times New Roman" w:cs="Times New Roman"/>
          <w:sz w:val="22"/>
          <w:szCs w:val="22"/>
        </w:rPr>
        <w:t>6</w:t>
      </w:r>
      <w:r w:rsidRPr="00262021">
        <w:rPr>
          <w:rFonts w:ascii="Times New Roman" w:hAnsi="Times New Roman" w:cs="Times New Roman"/>
          <w:sz w:val="22"/>
          <w:szCs w:val="22"/>
        </w:rPr>
        <w:t>.</w:t>
      </w:r>
    </w:p>
    <w:p w14:paraId="53E6F015" w14:textId="77777777" w:rsidR="00FC046A" w:rsidRPr="00262021" w:rsidRDefault="00FC046A">
      <w:pPr>
        <w:pStyle w:val="EndnoteText"/>
        <w:rPr>
          <w:rFonts w:ascii="Times New Roman" w:hAnsi="Times New Roman" w:cs="Times New Roman"/>
          <w:sz w:val="22"/>
          <w:szCs w:val="22"/>
        </w:rPr>
      </w:pPr>
    </w:p>
  </w:endnote>
  <w:endnote w:id="4">
    <w:p w14:paraId="44F60EAF" w14:textId="2B8B8E21" w:rsidR="00FC046A" w:rsidRDefault="00FC046A">
      <w:pPr>
        <w:pStyle w:val="EndnoteText"/>
        <w:rPr>
          <w:rFonts w:ascii="Times New Roman" w:hAnsi="Times New Roman" w:cs="Times New Roman"/>
          <w:sz w:val="22"/>
          <w:szCs w:val="22"/>
        </w:rPr>
      </w:pPr>
      <w:r w:rsidRPr="0033576A">
        <w:rPr>
          <w:rStyle w:val="EndnoteReference"/>
          <w:rFonts w:ascii="Times New Roman" w:hAnsi="Times New Roman" w:cs="Times New Roman"/>
          <w:sz w:val="22"/>
          <w:szCs w:val="22"/>
        </w:rPr>
        <w:endnoteRef/>
      </w:r>
      <w:r w:rsidRPr="0033576A">
        <w:rPr>
          <w:rFonts w:ascii="Times New Roman" w:hAnsi="Times New Roman" w:cs="Times New Roman"/>
          <w:sz w:val="22"/>
          <w:szCs w:val="22"/>
        </w:rPr>
        <w:t xml:space="preserve"> </w:t>
      </w:r>
      <w:r w:rsidRPr="00CB5230">
        <w:rPr>
          <w:rFonts w:ascii="Times New Roman" w:hAnsi="Times New Roman" w:cs="Times New Roman"/>
          <w:sz w:val="22"/>
          <w:szCs w:val="22"/>
        </w:rPr>
        <w:t>See</w:t>
      </w:r>
      <w:r w:rsidRPr="0033576A">
        <w:rPr>
          <w:rFonts w:ascii="Times New Roman" w:hAnsi="Times New Roman" w:cs="Times New Roman"/>
          <w:sz w:val="22"/>
          <w:szCs w:val="22"/>
        </w:rPr>
        <w:t xml:space="preserve"> </w:t>
      </w:r>
      <w:r>
        <w:rPr>
          <w:rFonts w:ascii="Times New Roman" w:hAnsi="Times New Roman" w:cs="Times New Roman"/>
          <w:sz w:val="22"/>
          <w:szCs w:val="22"/>
        </w:rPr>
        <w:t>Tr.</w:t>
      </w:r>
      <w:r w:rsidRPr="0033576A">
        <w:rPr>
          <w:rFonts w:ascii="Times New Roman" w:hAnsi="Times New Roman" w:cs="Times New Roman"/>
          <w:sz w:val="22"/>
          <w:szCs w:val="22"/>
        </w:rPr>
        <w:t xml:space="preserve"> at 115.</w:t>
      </w:r>
    </w:p>
    <w:p w14:paraId="2E9E2837" w14:textId="77777777" w:rsidR="00FC046A" w:rsidRPr="0033576A" w:rsidRDefault="00FC046A">
      <w:pPr>
        <w:pStyle w:val="EndnoteText"/>
        <w:rPr>
          <w:rFonts w:ascii="Times New Roman" w:hAnsi="Times New Roman" w:cs="Times New Roman"/>
          <w:sz w:val="22"/>
          <w:szCs w:val="22"/>
        </w:rPr>
      </w:pPr>
    </w:p>
  </w:endnote>
  <w:endnote w:id="5">
    <w:p w14:paraId="04799B41" w14:textId="5BC98DD7" w:rsidR="00FC046A" w:rsidRPr="00FC2596" w:rsidRDefault="00FC046A">
      <w:pPr>
        <w:pStyle w:val="EndnoteText"/>
        <w:rPr>
          <w:rFonts w:ascii="Times New Roman" w:hAnsi="Times New Roman" w:cs="Times New Roman"/>
          <w:sz w:val="22"/>
          <w:szCs w:val="22"/>
        </w:rPr>
      </w:pPr>
      <w:r w:rsidRPr="00FC2596">
        <w:rPr>
          <w:rStyle w:val="EndnoteReference"/>
          <w:rFonts w:ascii="Times New Roman" w:hAnsi="Times New Roman" w:cs="Times New Roman"/>
          <w:sz w:val="22"/>
          <w:szCs w:val="22"/>
        </w:rPr>
        <w:endnoteRef/>
      </w:r>
      <w:r w:rsidRPr="00FC2596">
        <w:rPr>
          <w:rFonts w:ascii="Times New Roman" w:hAnsi="Times New Roman" w:cs="Times New Roman"/>
          <w:sz w:val="22"/>
          <w:szCs w:val="22"/>
        </w:rPr>
        <w:t xml:space="preserve"> See testimony of Norman Zumbaum, </w:t>
      </w:r>
      <w:r>
        <w:rPr>
          <w:rFonts w:ascii="Times New Roman" w:hAnsi="Times New Roman" w:cs="Times New Roman"/>
          <w:sz w:val="22"/>
          <w:szCs w:val="22"/>
        </w:rPr>
        <w:t>Tr.</w:t>
      </w:r>
      <w:r w:rsidRPr="00FC2596">
        <w:rPr>
          <w:rFonts w:ascii="Times New Roman" w:hAnsi="Times New Roman" w:cs="Times New Roman"/>
          <w:sz w:val="22"/>
          <w:szCs w:val="22"/>
        </w:rPr>
        <w:t xml:space="preserve"> at 109-110.</w:t>
      </w:r>
    </w:p>
    <w:p w14:paraId="4845B4D9" w14:textId="77777777" w:rsidR="00FC046A" w:rsidRPr="00FC2596" w:rsidRDefault="00FC046A">
      <w:pPr>
        <w:pStyle w:val="EndnoteText"/>
        <w:rPr>
          <w:rFonts w:ascii="Times New Roman" w:hAnsi="Times New Roman" w:cs="Times New Roman"/>
          <w:sz w:val="22"/>
          <w:szCs w:val="22"/>
        </w:rPr>
      </w:pPr>
    </w:p>
  </w:endnote>
  <w:endnote w:id="6">
    <w:p w14:paraId="3537D76D" w14:textId="5E53489F" w:rsidR="00FC046A" w:rsidRPr="00FC2596" w:rsidRDefault="00FC046A" w:rsidP="00681B6C">
      <w:pPr>
        <w:pStyle w:val="EndnoteText"/>
        <w:rPr>
          <w:rFonts w:ascii="Times New Roman" w:hAnsi="Times New Roman" w:cs="Times New Roman"/>
          <w:sz w:val="22"/>
          <w:szCs w:val="22"/>
        </w:rPr>
      </w:pPr>
      <w:r w:rsidRPr="00FC2596">
        <w:rPr>
          <w:rStyle w:val="EndnoteReference"/>
          <w:rFonts w:ascii="Times New Roman" w:hAnsi="Times New Roman" w:cs="Times New Roman"/>
          <w:sz w:val="22"/>
          <w:szCs w:val="22"/>
        </w:rPr>
        <w:endnoteRef/>
      </w:r>
      <w:r w:rsidRPr="00FC2596">
        <w:rPr>
          <w:rFonts w:ascii="Times New Roman" w:hAnsi="Times New Roman" w:cs="Times New Roman"/>
          <w:sz w:val="22"/>
          <w:szCs w:val="22"/>
        </w:rPr>
        <w:t xml:space="preserve"> See testimony of Norman Zumbaum, </w:t>
      </w:r>
      <w:r>
        <w:rPr>
          <w:rFonts w:ascii="Times New Roman" w:hAnsi="Times New Roman" w:cs="Times New Roman"/>
          <w:sz w:val="22"/>
          <w:szCs w:val="22"/>
        </w:rPr>
        <w:t>Tr.</w:t>
      </w:r>
      <w:r w:rsidRPr="00FC2596">
        <w:rPr>
          <w:rFonts w:ascii="Times New Roman" w:hAnsi="Times New Roman" w:cs="Times New Roman"/>
          <w:sz w:val="22"/>
          <w:szCs w:val="22"/>
        </w:rPr>
        <w:t xml:space="preserve"> at 118-119.</w:t>
      </w:r>
    </w:p>
    <w:p w14:paraId="3A504E55" w14:textId="77777777" w:rsidR="00FC046A" w:rsidRPr="00FC2596" w:rsidRDefault="00FC046A" w:rsidP="00681B6C">
      <w:pPr>
        <w:pStyle w:val="EndnoteText"/>
        <w:rPr>
          <w:rFonts w:ascii="Times New Roman" w:hAnsi="Times New Roman" w:cs="Times New Roman"/>
          <w:sz w:val="22"/>
          <w:szCs w:val="22"/>
        </w:rPr>
      </w:pPr>
    </w:p>
  </w:endnote>
  <w:endnote w:id="7">
    <w:p w14:paraId="35D9F5A3" w14:textId="3C15DB98" w:rsidR="00FC046A" w:rsidRPr="00FC2596" w:rsidRDefault="00FC046A" w:rsidP="00681B6C">
      <w:pPr>
        <w:pStyle w:val="EndnoteText"/>
        <w:rPr>
          <w:rFonts w:ascii="Times New Roman" w:hAnsi="Times New Roman" w:cs="Times New Roman"/>
          <w:sz w:val="22"/>
          <w:szCs w:val="22"/>
        </w:rPr>
      </w:pPr>
      <w:r w:rsidRPr="00FC2596">
        <w:rPr>
          <w:rStyle w:val="EndnoteReference"/>
          <w:rFonts w:ascii="Times New Roman" w:hAnsi="Times New Roman" w:cs="Times New Roman"/>
          <w:sz w:val="22"/>
          <w:szCs w:val="22"/>
        </w:rPr>
        <w:endnoteRef/>
      </w:r>
      <w:r w:rsidRPr="00FC2596">
        <w:rPr>
          <w:rFonts w:ascii="Times New Roman" w:hAnsi="Times New Roman" w:cs="Times New Roman"/>
          <w:sz w:val="22"/>
          <w:szCs w:val="22"/>
        </w:rPr>
        <w:t xml:space="preserve"> See testimony of Norman Zumbaum, </w:t>
      </w:r>
      <w:r>
        <w:rPr>
          <w:rFonts w:ascii="Times New Roman" w:hAnsi="Times New Roman" w:cs="Times New Roman"/>
          <w:sz w:val="22"/>
          <w:szCs w:val="22"/>
        </w:rPr>
        <w:t>Tr.</w:t>
      </w:r>
      <w:r w:rsidRPr="00FC2596">
        <w:rPr>
          <w:rFonts w:ascii="Times New Roman" w:hAnsi="Times New Roman" w:cs="Times New Roman"/>
          <w:sz w:val="22"/>
          <w:szCs w:val="22"/>
        </w:rPr>
        <w:t xml:space="preserve"> at 110-111.</w:t>
      </w:r>
    </w:p>
    <w:p w14:paraId="05B13121" w14:textId="77777777" w:rsidR="00FC046A" w:rsidRPr="00FC2596" w:rsidRDefault="00FC046A" w:rsidP="00681B6C">
      <w:pPr>
        <w:pStyle w:val="EndnoteText"/>
        <w:rPr>
          <w:rFonts w:ascii="Times New Roman" w:hAnsi="Times New Roman" w:cs="Times New Roman"/>
          <w:sz w:val="22"/>
          <w:szCs w:val="22"/>
        </w:rPr>
      </w:pPr>
    </w:p>
  </w:endnote>
  <w:endnote w:id="8">
    <w:p w14:paraId="79B67A54" w14:textId="77930C0A" w:rsidR="00FC046A" w:rsidRPr="00FC2596" w:rsidRDefault="00FC046A" w:rsidP="00681B6C">
      <w:pPr>
        <w:pStyle w:val="EndnoteText"/>
        <w:rPr>
          <w:rFonts w:ascii="Times New Roman" w:hAnsi="Times New Roman" w:cs="Times New Roman"/>
          <w:sz w:val="22"/>
          <w:szCs w:val="22"/>
        </w:rPr>
      </w:pPr>
      <w:r w:rsidRPr="00FC2596">
        <w:rPr>
          <w:rStyle w:val="EndnoteReference"/>
          <w:rFonts w:ascii="Times New Roman" w:hAnsi="Times New Roman" w:cs="Times New Roman"/>
          <w:sz w:val="22"/>
          <w:szCs w:val="22"/>
        </w:rPr>
        <w:endnoteRef/>
      </w:r>
      <w:r w:rsidRPr="00FC2596">
        <w:rPr>
          <w:rFonts w:ascii="Times New Roman" w:hAnsi="Times New Roman" w:cs="Times New Roman"/>
          <w:sz w:val="22"/>
          <w:szCs w:val="22"/>
        </w:rPr>
        <w:t xml:space="preserve"> See testimony of Norman Zumbaum, </w:t>
      </w:r>
      <w:r>
        <w:rPr>
          <w:rFonts w:ascii="Times New Roman" w:hAnsi="Times New Roman" w:cs="Times New Roman"/>
          <w:sz w:val="22"/>
          <w:szCs w:val="22"/>
        </w:rPr>
        <w:t>Tr.</w:t>
      </w:r>
      <w:r w:rsidRPr="00FC2596">
        <w:rPr>
          <w:rFonts w:ascii="Times New Roman" w:hAnsi="Times New Roman" w:cs="Times New Roman"/>
          <w:sz w:val="22"/>
          <w:szCs w:val="22"/>
        </w:rPr>
        <w:t xml:space="preserve"> at 111</w:t>
      </w:r>
      <w:r>
        <w:rPr>
          <w:rFonts w:ascii="Times New Roman" w:hAnsi="Times New Roman" w:cs="Times New Roman"/>
          <w:sz w:val="22"/>
          <w:szCs w:val="22"/>
        </w:rPr>
        <w:t xml:space="preserve">, </w:t>
      </w:r>
      <w:r w:rsidRPr="00FC2596">
        <w:rPr>
          <w:rFonts w:ascii="Times New Roman" w:hAnsi="Times New Roman" w:cs="Times New Roman"/>
          <w:sz w:val="22"/>
          <w:szCs w:val="22"/>
        </w:rPr>
        <w:t>119-120.</w:t>
      </w:r>
    </w:p>
    <w:p w14:paraId="687FE352" w14:textId="77777777" w:rsidR="00FC046A" w:rsidRPr="00FC2596" w:rsidRDefault="00FC046A" w:rsidP="00681B6C">
      <w:pPr>
        <w:pStyle w:val="EndnoteText"/>
        <w:rPr>
          <w:rFonts w:ascii="Times New Roman" w:hAnsi="Times New Roman" w:cs="Times New Roman"/>
          <w:sz w:val="22"/>
          <w:szCs w:val="22"/>
        </w:rPr>
      </w:pPr>
    </w:p>
  </w:endnote>
  <w:endnote w:id="9">
    <w:p w14:paraId="0D40B5E8" w14:textId="5F41C7D4" w:rsidR="00FC046A" w:rsidRPr="00FC2596" w:rsidRDefault="00FC046A" w:rsidP="00681B6C">
      <w:pPr>
        <w:pStyle w:val="EndnoteText"/>
        <w:rPr>
          <w:rFonts w:ascii="Times New Roman" w:hAnsi="Times New Roman" w:cs="Times New Roman"/>
          <w:sz w:val="22"/>
          <w:szCs w:val="22"/>
        </w:rPr>
      </w:pPr>
      <w:r w:rsidRPr="00FC2596">
        <w:rPr>
          <w:rStyle w:val="EndnoteReference"/>
          <w:rFonts w:ascii="Times New Roman" w:hAnsi="Times New Roman" w:cs="Times New Roman"/>
          <w:sz w:val="22"/>
          <w:szCs w:val="22"/>
        </w:rPr>
        <w:endnoteRef/>
      </w:r>
      <w:r w:rsidRPr="00FC2596">
        <w:rPr>
          <w:rFonts w:ascii="Times New Roman" w:hAnsi="Times New Roman" w:cs="Times New Roman"/>
          <w:sz w:val="22"/>
          <w:szCs w:val="22"/>
        </w:rPr>
        <w:t xml:space="preserve"> See testimony of Norman Zumbaum, </w:t>
      </w:r>
      <w:r>
        <w:rPr>
          <w:rFonts w:ascii="Times New Roman" w:hAnsi="Times New Roman" w:cs="Times New Roman"/>
          <w:sz w:val="22"/>
          <w:szCs w:val="22"/>
        </w:rPr>
        <w:t>Tr.</w:t>
      </w:r>
      <w:r w:rsidRPr="00FC2596">
        <w:rPr>
          <w:rFonts w:ascii="Times New Roman" w:hAnsi="Times New Roman" w:cs="Times New Roman"/>
          <w:sz w:val="22"/>
          <w:szCs w:val="22"/>
        </w:rPr>
        <w:t xml:space="preserve"> at 118-119.</w:t>
      </w:r>
    </w:p>
    <w:p w14:paraId="068F3517" w14:textId="77777777" w:rsidR="00FC046A" w:rsidRPr="00A859F6" w:rsidRDefault="00FC046A" w:rsidP="00681B6C">
      <w:pPr>
        <w:pStyle w:val="EndnoteText"/>
        <w:rPr>
          <w:rFonts w:ascii="Times New Roman" w:hAnsi="Times New Roman" w:cs="Times New Roman"/>
          <w:sz w:val="22"/>
          <w:szCs w:val="22"/>
        </w:rPr>
      </w:pPr>
    </w:p>
  </w:endnote>
  <w:endnote w:id="10">
    <w:p w14:paraId="3EF4627C" w14:textId="799BF4F1" w:rsidR="00FC046A" w:rsidRPr="00A859F6" w:rsidRDefault="00FC046A">
      <w:pPr>
        <w:pStyle w:val="EndnoteText"/>
        <w:rPr>
          <w:rFonts w:ascii="Times New Roman" w:hAnsi="Times New Roman" w:cs="Times New Roman"/>
          <w:sz w:val="22"/>
          <w:szCs w:val="22"/>
        </w:rPr>
      </w:pPr>
      <w:r w:rsidRPr="00A859F6">
        <w:rPr>
          <w:rStyle w:val="EndnoteReference"/>
          <w:rFonts w:ascii="Times New Roman" w:hAnsi="Times New Roman" w:cs="Times New Roman"/>
          <w:sz w:val="22"/>
          <w:szCs w:val="22"/>
        </w:rPr>
        <w:endnoteRef/>
      </w:r>
      <w:r w:rsidRPr="00A859F6">
        <w:rPr>
          <w:rFonts w:ascii="Times New Roman" w:hAnsi="Times New Roman" w:cs="Times New Roman"/>
          <w:sz w:val="22"/>
          <w:szCs w:val="22"/>
        </w:rPr>
        <w:t xml:space="preserve"> </w:t>
      </w:r>
      <w:bookmarkStart w:id="4" w:name="_Hlk524022502"/>
      <w:r w:rsidRPr="00A859F6">
        <w:rPr>
          <w:rFonts w:ascii="Times New Roman" w:hAnsi="Times New Roman" w:cs="Times New Roman"/>
          <w:sz w:val="22"/>
          <w:szCs w:val="22"/>
        </w:rPr>
        <w:t xml:space="preserve">See testimony of Norman Zumbaum, </w:t>
      </w:r>
      <w:r>
        <w:rPr>
          <w:rFonts w:ascii="Times New Roman" w:hAnsi="Times New Roman" w:cs="Times New Roman"/>
          <w:sz w:val="22"/>
          <w:szCs w:val="22"/>
        </w:rPr>
        <w:t>Tr.</w:t>
      </w:r>
      <w:r w:rsidRPr="00A859F6">
        <w:rPr>
          <w:rFonts w:ascii="Times New Roman" w:hAnsi="Times New Roman" w:cs="Times New Roman"/>
          <w:sz w:val="22"/>
          <w:szCs w:val="22"/>
        </w:rPr>
        <w:t xml:space="preserve"> at 107-108.</w:t>
      </w:r>
      <w:bookmarkEnd w:id="4"/>
    </w:p>
    <w:p w14:paraId="4073128D" w14:textId="77777777" w:rsidR="00FC046A" w:rsidRPr="00A859F6" w:rsidRDefault="00FC046A">
      <w:pPr>
        <w:pStyle w:val="EndnoteText"/>
        <w:rPr>
          <w:rFonts w:ascii="Times New Roman" w:hAnsi="Times New Roman" w:cs="Times New Roman"/>
          <w:sz w:val="22"/>
          <w:szCs w:val="22"/>
        </w:rPr>
      </w:pPr>
    </w:p>
  </w:endnote>
  <w:endnote w:id="11">
    <w:p w14:paraId="199B8D75" w14:textId="77777777" w:rsidR="00FC046A" w:rsidRDefault="00FC046A">
      <w:pPr>
        <w:pStyle w:val="EndnoteText"/>
        <w:rPr>
          <w:rFonts w:ascii="Times New Roman" w:hAnsi="Times New Roman" w:cs="Times New Roman"/>
          <w:sz w:val="22"/>
          <w:szCs w:val="22"/>
        </w:rPr>
      </w:pPr>
      <w:r w:rsidRPr="005B3817">
        <w:rPr>
          <w:rStyle w:val="EndnoteReference"/>
          <w:rFonts w:ascii="Times New Roman" w:hAnsi="Times New Roman" w:cs="Times New Roman"/>
          <w:sz w:val="22"/>
          <w:szCs w:val="22"/>
        </w:rPr>
        <w:endnoteRef/>
      </w:r>
      <w:r w:rsidRPr="005B3817">
        <w:rPr>
          <w:rFonts w:ascii="Times New Roman" w:hAnsi="Times New Roman" w:cs="Times New Roman"/>
          <w:sz w:val="22"/>
          <w:szCs w:val="22"/>
        </w:rPr>
        <w:t xml:space="preserve"> The CERCLA Superfund legislation is codified as amended at 42 U.S.C. §§ 9601-9675 (2000).</w:t>
      </w:r>
    </w:p>
    <w:p w14:paraId="7F8E79FF" w14:textId="77777777" w:rsidR="00FC046A" w:rsidRPr="005B3817" w:rsidRDefault="00FC046A">
      <w:pPr>
        <w:pStyle w:val="EndnoteText"/>
        <w:rPr>
          <w:rFonts w:ascii="Times New Roman" w:hAnsi="Times New Roman" w:cs="Times New Roman"/>
          <w:sz w:val="22"/>
          <w:szCs w:val="22"/>
        </w:rPr>
      </w:pPr>
    </w:p>
  </w:endnote>
  <w:endnote w:id="12">
    <w:p w14:paraId="314F72BF" w14:textId="6F0010CA" w:rsidR="00FC046A" w:rsidRPr="0088784F" w:rsidRDefault="00FC046A" w:rsidP="00297D16">
      <w:pPr>
        <w:pStyle w:val="EndnoteText"/>
        <w:rPr>
          <w:rFonts w:ascii="Times New Roman" w:hAnsi="Times New Roman" w:cs="Times New Roman"/>
          <w:sz w:val="22"/>
          <w:szCs w:val="22"/>
        </w:rPr>
      </w:pPr>
      <w:r w:rsidRPr="0088784F">
        <w:rPr>
          <w:rStyle w:val="EndnoteReference"/>
          <w:rFonts w:ascii="Times New Roman" w:hAnsi="Times New Roman" w:cs="Times New Roman"/>
          <w:sz w:val="22"/>
          <w:szCs w:val="22"/>
        </w:rPr>
        <w:endnoteRef/>
      </w:r>
      <w:r w:rsidRPr="0088784F">
        <w:rPr>
          <w:rFonts w:ascii="Times New Roman" w:hAnsi="Times New Roman" w:cs="Times New Roman"/>
          <w:sz w:val="22"/>
          <w:szCs w:val="22"/>
        </w:rPr>
        <w:t xml:space="preserve"> See testimony of Norman Zumbaum, </w:t>
      </w:r>
      <w:r>
        <w:rPr>
          <w:rFonts w:ascii="Times New Roman" w:hAnsi="Times New Roman" w:cs="Times New Roman"/>
          <w:sz w:val="22"/>
          <w:szCs w:val="22"/>
        </w:rPr>
        <w:t>Tr.</w:t>
      </w:r>
      <w:r w:rsidRPr="0088784F">
        <w:rPr>
          <w:rFonts w:ascii="Times New Roman" w:hAnsi="Times New Roman" w:cs="Times New Roman"/>
          <w:sz w:val="22"/>
          <w:szCs w:val="22"/>
        </w:rPr>
        <w:t xml:space="preserve"> at </w:t>
      </w:r>
      <w:r>
        <w:rPr>
          <w:rFonts w:ascii="Times New Roman" w:hAnsi="Times New Roman" w:cs="Times New Roman"/>
          <w:sz w:val="22"/>
          <w:szCs w:val="22"/>
        </w:rPr>
        <w:t>112.</w:t>
      </w:r>
    </w:p>
    <w:p w14:paraId="4FF1CE78" w14:textId="77777777" w:rsidR="00FC046A" w:rsidRPr="008E0E2D" w:rsidRDefault="00FC046A" w:rsidP="00297D16">
      <w:pPr>
        <w:pStyle w:val="EndnoteText"/>
        <w:rPr>
          <w:rFonts w:ascii="Times New Roman" w:hAnsi="Times New Roman" w:cs="Times New Roman"/>
          <w:sz w:val="22"/>
          <w:szCs w:val="22"/>
        </w:rPr>
      </w:pPr>
    </w:p>
  </w:endnote>
  <w:endnote w:id="13">
    <w:p w14:paraId="0A8ABD92" w14:textId="0FEC75AF" w:rsidR="00FC046A" w:rsidRPr="008E0E2D" w:rsidRDefault="00FC046A" w:rsidP="00297D16">
      <w:pPr>
        <w:pStyle w:val="EndnoteText"/>
        <w:rPr>
          <w:rFonts w:ascii="Times New Roman" w:hAnsi="Times New Roman" w:cs="Times New Roman"/>
          <w:sz w:val="22"/>
          <w:szCs w:val="22"/>
        </w:rPr>
      </w:pPr>
      <w:r w:rsidRPr="008E0E2D">
        <w:rPr>
          <w:rStyle w:val="EndnoteReference"/>
          <w:rFonts w:ascii="Times New Roman" w:hAnsi="Times New Roman" w:cs="Times New Roman"/>
          <w:sz w:val="22"/>
          <w:szCs w:val="22"/>
        </w:rPr>
        <w:endnoteRef/>
      </w:r>
      <w:r w:rsidRPr="008E0E2D">
        <w:rPr>
          <w:rFonts w:ascii="Times New Roman" w:hAnsi="Times New Roman" w:cs="Times New Roman"/>
          <w:sz w:val="22"/>
          <w:szCs w:val="22"/>
        </w:rPr>
        <w:t xml:space="preserve"> See testimony of Norman Zumbaum, </w:t>
      </w:r>
      <w:r>
        <w:rPr>
          <w:rFonts w:ascii="Times New Roman" w:hAnsi="Times New Roman" w:cs="Times New Roman"/>
          <w:sz w:val="22"/>
          <w:szCs w:val="22"/>
        </w:rPr>
        <w:t>Tr.</w:t>
      </w:r>
      <w:r w:rsidRPr="008E0E2D">
        <w:rPr>
          <w:rFonts w:ascii="Times New Roman" w:hAnsi="Times New Roman" w:cs="Times New Roman"/>
          <w:sz w:val="22"/>
          <w:szCs w:val="22"/>
        </w:rPr>
        <w:t xml:space="preserve"> at </w:t>
      </w:r>
      <w:r>
        <w:rPr>
          <w:rFonts w:ascii="Times New Roman" w:hAnsi="Times New Roman" w:cs="Times New Roman"/>
          <w:sz w:val="22"/>
          <w:szCs w:val="22"/>
        </w:rPr>
        <w:t>96, 103-104</w:t>
      </w:r>
      <w:r w:rsidRPr="008E0E2D">
        <w:rPr>
          <w:rFonts w:ascii="Times New Roman" w:hAnsi="Times New Roman" w:cs="Times New Roman"/>
          <w:sz w:val="22"/>
          <w:szCs w:val="22"/>
        </w:rPr>
        <w:t>.</w:t>
      </w:r>
    </w:p>
    <w:p w14:paraId="079733B4" w14:textId="77777777" w:rsidR="00FC046A" w:rsidRPr="008E0E2D" w:rsidRDefault="00FC046A" w:rsidP="00297D16">
      <w:pPr>
        <w:pStyle w:val="EndnoteText"/>
        <w:rPr>
          <w:rFonts w:ascii="Times New Roman" w:hAnsi="Times New Roman" w:cs="Times New Roman"/>
          <w:sz w:val="22"/>
          <w:szCs w:val="22"/>
        </w:rPr>
      </w:pPr>
    </w:p>
  </w:endnote>
  <w:endnote w:id="14">
    <w:p w14:paraId="5A14E9FF" w14:textId="36C1280B" w:rsidR="00FC046A" w:rsidRPr="008265E4" w:rsidRDefault="00FC046A">
      <w:pPr>
        <w:pStyle w:val="EndnoteText"/>
        <w:rPr>
          <w:rFonts w:ascii="Times New Roman" w:hAnsi="Times New Roman" w:cs="Times New Roman"/>
          <w:sz w:val="22"/>
          <w:szCs w:val="22"/>
        </w:rPr>
      </w:pPr>
      <w:r w:rsidRPr="008265E4">
        <w:rPr>
          <w:rStyle w:val="EndnoteReference"/>
          <w:rFonts w:ascii="Times New Roman" w:hAnsi="Times New Roman" w:cs="Times New Roman"/>
          <w:sz w:val="22"/>
          <w:szCs w:val="22"/>
        </w:rPr>
        <w:endnoteRef/>
      </w:r>
      <w:r w:rsidRPr="008265E4">
        <w:rPr>
          <w:rFonts w:ascii="Times New Roman" w:hAnsi="Times New Roman" w:cs="Times New Roman"/>
          <w:sz w:val="22"/>
          <w:szCs w:val="22"/>
        </w:rPr>
        <w:t xml:space="preserve"> Unless otherwise specified, all statutory section references are to the Internal Revenue Code of 1986, as amended, and all regulatory references are to the Treasury regulations as in effect and applicable to the year or years at issue.</w:t>
      </w:r>
    </w:p>
    <w:p w14:paraId="0BEC1CF5" w14:textId="77777777" w:rsidR="00FC046A" w:rsidRDefault="00FC046A">
      <w:pPr>
        <w:pStyle w:val="EndnoteText"/>
      </w:pPr>
    </w:p>
  </w:endnote>
  <w:endnote w:id="15">
    <w:p w14:paraId="17EB2A32" w14:textId="5F388028" w:rsidR="00FC046A" w:rsidRPr="007F1375" w:rsidRDefault="00FC046A">
      <w:pPr>
        <w:pStyle w:val="EndnoteText"/>
        <w:rPr>
          <w:rFonts w:ascii="Times New Roman" w:hAnsi="Times New Roman" w:cs="Times New Roman"/>
          <w:sz w:val="22"/>
          <w:szCs w:val="22"/>
        </w:rPr>
      </w:pPr>
      <w:r w:rsidRPr="00A859F6">
        <w:rPr>
          <w:rStyle w:val="EndnoteReference"/>
          <w:rFonts w:ascii="Times New Roman" w:hAnsi="Times New Roman" w:cs="Times New Roman"/>
          <w:sz w:val="22"/>
          <w:szCs w:val="22"/>
        </w:rPr>
        <w:endnoteRef/>
      </w:r>
      <w:r w:rsidRPr="00A859F6">
        <w:rPr>
          <w:rFonts w:ascii="Times New Roman" w:hAnsi="Times New Roman" w:cs="Times New Roman"/>
          <w:sz w:val="22"/>
          <w:szCs w:val="22"/>
        </w:rPr>
        <w:t xml:space="preserve"> See testimony of Norman</w:t>
      </w:r>
      <w:r w:rsidRPr="00327705">
        <w:rPr>
          <w:rFonts w:ascii="Times New Roman" w:hAnsi="Times New Roman" w:cs="Times New Roman"/>
          <w:sz w:val="22"/>
          <w:szCs w:val="22"/>
        </w:rPr>
        <w:t xml:space="preserve"> Zumbaum, </w:t>
      </w:r>
      <w:r>
        <w:rPr>
          <w:rFonts w:ascii="Times New Roman" w:hAnsi="Times New Roman" w:cs="Times New Roman"/>
          <w:sz w:val="22"/>
          <w:szCs w:val="22"/>
        </w:rPr>
        <w:t>Tr.</w:t>
      </w:r>
      <w:r w:rsidRPr="00327705">
        <w:rPr>
          <w:rFonts w:ascii="Times New Roman" w:hAnsi="Times New Roman" w:cs="Times New Roman"/>
          <w:sz w:val="22"/>
          <w:szCs w:val="22"/>
        </w:rPr>
        <w:t xml:space="preserve"> at 1</w:t>
      </w:r>
      <w:r>
        <w:rPr>
          <w:rFonts w:ascii="Times New Roman" w:hAnsi="Times New Roman" w:cs="Times New Roman"/>
          <w:sz w:val="22"/>
          <w:szCs w:val="22"/>
        </w:rPr>
        <w:t>33</w:t>
      </w:r>
      <w:r w:rsidRPr="00327705">
        <w:rPr>
          <w:rFonts w:ascii="Times New Roman" w:hAnsi="Times New Roman" w:cs="Times New Roman"/>
          <w:sz w:val="22"/>
          <w:szCs w:val="22"/>
        </w:rPr>
        <w:t>-1</w:t>
      </w:r>
      <w:r>
        <w:rPr>
          <w:rFonts w:ascii="Times New Roman" w:hAnsi="Times New Roman" w:cs="Times New Roman"/>
          <w:sz w:val="22"/>
          <w:szCs w:val="22"/>
        </w:rPr>
        <w:t>38 and testimony of Norman Zumbaum on cross-examination at 154-156.</w:t>
      </w:r>
    </w:p>
    <w:p w14:paraId="33BE6BB3" w14:textId="77777777" w:rsidR="00FC046A" w:rsidRPr="007F1375" w:rsidRDefault="00FC046A">
      <w:pPr>
        <w:pStyle w:val="EndnoteText"/>
        <w:rPr>
          <w:rFonts w:ascii="Times New Roman" w:hAnsi="Times New Roman" w:cs="Times New Roman"/>
          <w:sz w:val="22"/>
          <w:szCs w:val="22"/>
        </w:rPr>
      </w:pPr>
    </w:p>
  </w:endnote>
  <w:endnote w:id="16">
    <w:p w14:paraId="2B3679F6" w14:textId="732EEE65" w:rsidR="00FC046A" w:rsidRDefault="00FC046A" w:rsidP="004F1014">
      <w:pPr>
        <w:pStyle w:val="EndnoteText"/>
        <w:rPr>
          <w:rFonts w:ascii="Times New Roman" w:hAnsi="Times New Roman" w:cs="Times New Roman"/>
          <w:sz w:val="22"/>
          <w:szCs w:val="22"/>
        </w:rPr>
      </w:pPr>
      <w:r w:rsidRPr="007F1375">
        <w:rPr>
          <w:rStyle w:val="EndnoteReference"/>
          <w:rFonts w:ascii="Times New Roman" w:hAnsi="Times New Roman" w:cs="Times New Roman"/>
          <w:sz w:val="22"/>
          <w:szCs w:val="22"/>
        </w:rPr>
        <w:endnoteRef/>
      </w:r>
      <w:r w:rsidRPr="007F1375">
        <w:rPr>
          <w:rFonts w:ascii="Times New Roman" w:hAnsi="Times New Roman" w:cs="Times New Roman"/>
          <w:sz w:val="22"/>
          <w:szCs w:val="22"/>
        </w:rPr>
        <w:t xml:space="preserve"> </w:t>
      </w:r>
      <w:r w:rsidRPr="00420B82">
        <w:rPr>
          <w:rFonts w:ascii="Times New Roman" w:hAnsi="Times New Roman" w:cs="Times New Roman"/>
          <w:sz w:val="22"/>
          <w:szCs w:val="22"/>
        </w:rPr>
        <w:t xml:space="preserve">See testimony of Norman Zumbaum, </w:t>
      </w:r>
      <w:r>
        <w:rPr>
          <w:rFonts w:ascii="Times New Roman" w:hAnsi="Times New Roman" w:cs="Times New Roman"/>
          <w:sz w:val="22"/>
          <w:szCs w:val="22"/>
        </w:rPr>
        <w:t>Tr.</w:t>
      </w:r>
      <w:r w:rsidRPr="00420B82">
        <w:rPr>
          <w:rFonts w:ascii="Times New Roman" w:hAnsi="Times New Roman" w:cs="Times New Roman"/>
          <w:sz w:val="22"/>
          <w:szCs w:val="22"/>
        </w:rPr>
        <w:t xml:space="preserve"> at 13</w:t>
      </w:r>
      <w:r>
        <w:rPr>
          <w:rFonts w:ascii="Times New Roman" w:hAnsi="Times New Roman" w:cs="Times New Roman"/>
          <w:sz w:val="22"/>
          <w:szCs w:val="22"/>
        </w:rPr>
        <w:t xml:space="preserve">5-138, </w:t>
      </w:r>
      <w:r w:rsidRPr="000473D1">
        <w:rPr>
          <w:rFonts w:ascii="Times New Roman" w:hAnsi="Times New Roman" w:cs="Times New Roman"/>
          <w:sz w:val="22"/>
          <w:szCs w:val="22"/>
        </w:rPr>
        <w:t>16</w:t>
      </w:r>
      <w:r>
        <w:rPr>
          <w:rFonts w:ascii="Times New Roman" w:hAnsi="Times New Roman" w:cs="Times New Roman"/>
          <w:sz w:val="22"/>
          <w:szCs w:val="22"/>
        </w:rPr>
        <w:t>5</w:t>
      </w:r>
      <w:r w:rsidRPr="000473D1">
        <w:rPr>
          <w:rFonts w:ascii="Times New Roman" w:hAnsi="Times New Roman" w:cs="Times New Roman"/>
          <w:sz w:val="22"/>
          <w:szCs w:val="22"/>
        </w:rPr>
        <w:t>-167.</w:t>
      </w:r>
      <w:r>
        <w:rPr>
          <w:rFonts w:ascii="Times New Roman" w:hAnsi="Times New Roman" w:cs="Times New Roman"/>
          <w:sz w:val="22"/>
          <w:szCs w:val="22"/>
        </w:rPr>
        <w:t xml:space="preserve">  On cross-examination, Mr. Zumbaum testified that he “scanned through them” when asked by the government’s counsel if he looked at any of the insurance policies for the entities that were insured by Reserve.  He further testified that the “folks from Capstone” were “our advisors” and that it was therefore “</w:t>
      </w:r>
      <w:r w:rsidRPr="004F1014">
        <w:rPr>
          <w:rFonts w:ascii="Times New Roman" w:hAnsi="Times New Roman" w:cs="Times New Roman"/>
          <w:sz w:val="22"/>
          <w:szCs w:val="22"/>
        </w:rPr>
        <w:t>fair to say that whenever</w:t>
      </w:r>
      <w:r>
        <w:rPr>
          <w:rFonts w:ascii="Times New Roman" w:hAnsi="Times New Roman" w:cs="Times New Roman"/>
          <w:sz w:val="22"/>
          <w:szCs w:val="22"/>
        </w:rPr>
        <w:t xml:space="preserve"> [the] f</w:t>
      </w:r>
      <w:r w:rsidRPr="004F1014">
        <w:rPr>
          <w:rFonts w:ascii="Times New Roman" w:hAnsi="Times New Roman" w:cs="Times New Roman"/>
          <w:sz w:val="22"/>
          <w:szCs w:val="22"/>
        </w:rPr>
        <w:t>olks from Capstone</w:t>
      </w:r>
      <w:r>
        <w:rPr>
          <w:rFonts w:ascii="Times New Roman" w:hAnsi="Times New Roman" w:cs="Times New Roman"/>
          <w:sz w:val="22"/>
          <w:szCs w:val="22"/>
        </w:rPr>
        <w:t xml:space="preserve"> </w:t>
      </w:r>
      <w:r w:rsidRPr="004F1014">
        <w:rPr>
          <w:rFonts w:ascii="Times New Roman" w:hAnsi="Times New Roman" w:cs="Times New Roman"/>
          <w:sz w:val="22"/>
          <w:szCs w:val="22"/>
        </w:rPr>
        <w:t xml:space="preserve">told </w:t>
      </w:r>
      <w:r>
        <w:rPr>
          <w:rFonts w:ascii="Times New Roman" w:hAnsi="Times New Roman" w:cs="Times New Roman"/>
          <w:sz w:val="22"/>
          <w:szCs w:val="22"/>
        </w:rPr>
        <w:t>him</w:t>
      </w:r>
      <w:r w:rsidRPr="004F1014">
        <w:rPr>
          <w:rFonts w:ascii="Times New Roman" w:hAnsi="Times New Roman" w:cs="Times New Roman"/>
          <w:sz w:val="22"/>
          <w:szCs w:val="22"/>
        </w:rPr>
        <w:t xml:space="preserve"> about </w:t>
      </w:r>
      <w:r>
        <w:rPr>
          <w:rFonts w:ascii="Times New Roman" w:hAnsi="Times New Roman" w:cs="Times New Roman"/>
          <w:sz w:val="22"/>
          <w:szCs w:val="22"/>
        </w:rPr>
        <w:t>[the coverages provided under the terms of Reserve’s insurance policies]</w:t>
      </w:r>
      <w:r w:rsidRPr="004F1014">
        <w:rPr>
          <w:rFonts w:ascii="Times New Roman" w:hAnsi="Times New Roman" w:cs="Times New Roman"/>
          <w:sz w:val="22"/>
          <w:szCs w:val="22"/>
        </w:rPr>
        <w:t>,</w:t>
      </w:r>
      <w:r>
        <w:rPr>
          <w:rFonts w:ascii="Times New Roman" w:hAnsi="Times New Roman" w:cs="Times New Roman"/>
          <w:sz w:val="22"/>
          <w:szCs w:val="22"/>
        </w:rPr>
        <w:t>”</w:t>
      </w:r>
      <w:r w:rsidRPr="004F1014">
        <w:rPr>
          <w:rFonts w:ascii="Times New Roman" w:hAnsi="Times New Roman" w:cs="Times New Roman"/>
          <w:sz w:val="22"/>
          <w:szCs w:val="22"/>
        </w:rPr>
        <w:t xml:space="preserve"> </w:t>
      </w:r>
      <w:r>
        <w:rPr>
          <w:rFonts w:ascii="Times New Roman" w:hAnsi="Times New Roman" w:cs="Times New Roman"/>
          <w:sz w:val="22"/>
          <w:szCs w:val="22"/>
        </w:rPr>
        <w:t>he</w:t>
      </w:r>
      <w:r w:rsidRPr="004F1014">
        <w:rPr>
          <w:rFonts w:ascii="Times New Roman" w:hAnsi="Times New Roman" w:cs="Times New Roman"/>
          <w:sz w:val="22"/>
          <w:szCs w:val="22"/>
        </w:rPr>
        <w:t xml:space="preserve"> believed</w:t>
      </w:r>
      <w:r>
        <w:rPr>
          <w:rFonts w:ascii="Times New Roman" w:hAnsi="Times New Roman" w:cs="Times New Roman"/>
          <w:sz w:val="22"/>
          <w:szCs w:val="22"/>
        </w:rPr>
        <w:t xml:space="preserve"> and relied upon what was communicated to him.</w:t>
      </w:r>
    </w:p>
    <w:p w14:paraId="63F1943A" w14:textId="77777777" w:rsidR="00FC046A" w:rsidRPr="007F1375" w:rsidRDefault="00FC046A">
      <w:pPr>
        <w:pStyle w:val="EndnoteText"/>
        <w:rPr>
          <w:rFonts w:ascii="Times New Roman" w:hAnsi="Times New Roman" w:cs="Times New Roman"/>
          <w:sz w:val="22"/>
          <w:szCs w:val="22"/>
        </w:rPr>
      </w:pPr>
    </w:p>
  </w:endnote>
  <w:endnote w:id="17">
    <w:p w14:paraId="45D0684F" w14:textId="50C5C4A2" w:rsidR="00FC046A" w:rsidRDefault="00FC046A">
      <w:pPr>
        <w:pStyle w:val="EndnoteText"/>
        <w:rPr>
          <w:rFonts w:ascii="Times New Roman" w:hAnsi="Times New Roman" w:cs="Times New Roman"/>
          <w:sz w:val="22"/>
          <w:szCs w:val="22"/>
        </w:rPr>
      </w:pPr>
      <w:r w:rsidRPr="00140918">
        <w:rPr>
          <w:rStyle w:val="EndnoteReference"/>
          <w:rFonts w:ascii="Times New Roman" w:hAnsi="Times New Roman" w:cs="Times New Roman"/>
          <w:sz w:val="22"/>
          <w:szCs w:val="22"/>
        </w:rPr>
        <w:endnoteRef/>
      </w:r>
      <w:r w:rsidRPr="00140918">
        <w:rPr>
          <w:rFonts w:ascii="Times New Roman" w:hAnsi="Times New Roman" w:cs="Times New Roman"/>
          <w:sz w:val="22"/>
          <w:szCs w:val="22"/>
        </w:rPr>
        <w:t xml:space="preserve"> </w:t>
      </w:r>
      <w:r>
        <w:rPr>
          <w:rFonts w:ascii="Times New Roman" w:hAnsi="Times New Roman" w:cs="Times New Roman"/>
          <w:sz w:val="22"/>
          <w:szCs w:val="22"/>
        </w:rPr>
        <w:t xml:space="preserve">Opinion at </w:t>
      </w:r>
      <w:r w:rsidRPr="00140918">
        <w:rPr>
          <w:rFonts w:ascii="Times New Roman" w:hAnsi="Times New Roman" w:cs="Times New Roman"/>
          <w:sz w:val="22"/>
          <w:szCs w:val="22"/>
        </w:rPr>
        <w:t>50</w:t>
      </w:r>
      <w:r>
        <w:rPr>
          <w:rFonts w:ascii="Times New Roman" w:hAnsi="Times New Roman" w:cs="Times New Roman"/>
          <w:sz w:val="22"/>
          <w:szCs w:val="22"/>
        </w:rPr>
        <w:t xml:space="preserve">.  </w:t>
      </w:r>
    </w:p>
    <w:p w14:paraId="673E8679" w14:textId="77777777" w:rsidR="00FC046A" w:rsidRPr="00140918" w:rsidRDefault="00FC046A">
      <w:pPr>
        <w:pStyle w:val="EndnoteText"/>
        <w:rPr>
          <w:rFonts w:ascii="Times New Roman" w:hAnsi="Times New Roman" w:cs="Times New Roman"/>
          <w:sz w:val="22"/>
          <w:szCs w:val="22"/>
        </w:rPr>
      </w:pPr>
    </w:p>
  </w:endnote>
  <w:endnote w:id="18">
    <w:p w14:paraId="4821326D" w14:textId="76AA274B" w:rsidR="00FC046A" w:rsidRPr="00F15A7E" w:rsidRDefault="00FC046A" w:rsidP="002A1C94">
      <w:pPr>
        <w:pStyle w:val="EndnoteText"/>
        <w:rPr>
          <w:rFonts w:ascii="Times New Roman" w:hAnsi="Times New Roman" w:cs="Times New Roman"/>
          <w:sz w:val="22"/>
          <w:szCs w:val="22"/>
        </w:rPr>
      </w:pPr>
      <w:r w:rsidRPr="00F607C5">
        <w:rPr>
          <w:rStyle w:val="EndnoteReference"/>
          <w:rFonts w:ascii="Times New Roman" w:hAnsi="Times New Roman" w:cs="Times New Roman"/>
          <w:sz w:val="22"/>
          <w:szCs w:val="22"/>
        </w:rPr>
        <w:endnoteRef/>
      </w:r>
      <w:r w:rsidRPr="00F607C5">
        <w:rPr>
          <w:rFonts w:ascii="Times New Roman" w:hAnsi="Times New Roman" w:cs="Times New Roman"/>
          <w:sz w:val="22"/>
          <w:szCs w:val="22"/>
        </w:rPr>
        <w:t xml:space="preserve"> </w:t>
      </w:r>
      <w:r w:rsidRPr="00F15A7E">
        <w:rPr>
          <w:rFonts w:ascii="Times New Roman" w:hAnsi="Times New Roman" w:cs="Times New Roman"/>
          <w:sz w:val="22"/>
          <w:szCs w:val="22"/>
        </w:rPr>
        <w:t xml:space="preserve">See testimony of Norman Zumbaum, </w:t>
      </w:r>
      <w:r>
        <w:rPr>
          <w:rFonts w:ascii="Times New Roman" w:hAnsi="Times New Roman" w:cs="Times New Roman"/>
          <w:sz w:val="22"/>
          <w:szCs w:val="22"/>
        </w:rPr>
        <w:t>Tr.</w:t>
      </w:r>
      <w:r w:rsidRPr="00F15A7E">
        <w:rPr>
          <w:rFonts w:ascii="Times New Roman" w:hAnsi="Times New Roman" w:cs="Times New Roman"/>
          <w:sz w:val="22"/>
          <w:szCs w:val="22"/>
        </w:rPr>
        <w:t xml:space="preserve"> at 107-108.</w:t>
      </w:r>
    </w:p>
    <w:p w14:paraId="3C985A7C" w14:textId="77777777" w:rsidR="00FC046A" w:rsidRPr="00091DC3" w:rsidRDefault="00FC046A" w:rsidP="002A1C94">
      <w:pPr>
        <w:pStyle w:val="EndnoteText"/>
        <w:rPr>
          <w:rFonts w:ascii="Times New Roman" w:hAnsi="Times New Roman" w:cs="Times New Roman"/>
          <w:sz w:val="22"/>
          <w:szCs w:val="22"/>
        </w:rPr>
      </w:pPr>
    </w:p>
  </w:endnote>
  <w:endnote w:id="19">
    <w:p w14:paraId="3A8B825C" w14:textId="68D7D6B0" w:rsidR="00FC046A" w:rsidRDefault="00FC046A">
      <w:pPr>
        <w:pStyle w:val="EndnoteText"/>
        <w:rPr>
          <w:rFonts w:ascii="Times New Roman" w:hAnsi="Times New Roman" w:cs="Times New Roman"/>
          <w:sz w:val="22"/>
          <w:szCs w:val="22"/>
        </w:rPr>
      </w:pPr>
      <w:r w:rsidRPr="00091DC3">
        <w:rPr>
          <w:rStyle w:val="EndnoteReference"/>
          <w:rFonts w:ascii="Times New Roman" w:hAnsi="Times New Roman" w:cs="Times New Roman"/>
          <w:sz w:val="22"/>
          <w:szCs w:val="22"/>
        </w:rPr>
        <w:endnoteRef/>
      </w:r>
      <w:r w:rsidRPr="00091DC3">
        <w:rPr>
          <w:rFonts w:ascii="Times New Roman" w:hAnsi="Times New Roman" w:cs="Times New Roman"/>
          <w:sz w:val="22"/>
          <w:szCs w:val="22"/>
        </w:rPr>
        <w:t xml:space="preserve"> See Exhibit 27-J (Reserve Casualty Corp., Audited Financial Statements and Notes, Statutory Basis, December 31, 2010 and the Period from inception to December 31, 2009 and Independent Auditor’s Report of Liptz &amp; Associates, Inc.), page 6, Note 2(c).  Note 2(c) state</w:t>
      </w:r>
      <w:r>
        <w:rPr>
          <w:rFonts w:ascii="Times New Roman" w:hAnsi="Times New Roman" w:cs="Times New Roman"/>
          <w:sz w:val="22"/>
          <w:szCs w:val="22"/>
        </w:rPr>
        <w:t>s</w:t>
      </w:r>
      <w:r w:rsidRPr="00091DC3">
        <w:rPr>
          <w:rFonts w:ascii="Times New Roman" w:hAnsi="Times New Roman" w:cs="Times New Roman"/>
          <w:sz w:val="22"/>
          <w:szCs w:val="22"/>
        </w:rPr>
        <w:t>: “[Reserve] participates in a reinsurance risk pooling program with other unrelated insurance companies (“pool participants”), of which there were 58 in 2010.  This risk pool is operated by an unaffiliated regulated insurance corporation, PoolRe Insurance Corp. (“PoolRe”).  Each pool participant has one or more affiliated operating entities for which it underwrites insurance coverage, which is generally similar casualty-type coverages.  PoolRe participates in these policies through Stop Loss insurance contracts.  In total, the PoolRe sponsored risk pool comprises more than 650 Stop Loss insurance contracts for more than 200 insureds, which includes policies issue by [Reserve] as well as those issued by the other pool participants, all of which are unrelated insurance companies.”</w:t>
      </w:r>
    </w:p>
    <w:p w14:paraId="2B10362E" w14:textId="77777777" w:rsidR="00FC046A" w:rsidRPr="00091DC3" w:rsidRDefault="00FC046A">
      <w:pPr>
        <w:pStyle w:val="EndnoteText"/>
        <w:rPr>
          <w:rFonts w:ascii="Times New Roman" w:hAnsi="Times New Roman" w:cs="Times New Roman"/>
          <w:sz w:val="22"/>
          <w:szCs w:val="22"/>
        </w:rPr>
      </w:pPr>
    </w:p>
  </w:endnote>
  <w:endnote w:id="20">
    <w:p w14:paraId="42F9B6C3" w14:textId="59FB8907" w:rsidR="00FC046A" w:rsidRPr="00387956" w:rsidRDefault="00FC046A">
      <w:pPr>
        <w:pStyle w:val="EndnoteText"/>
        <w:rPr>
          <w:rFonts w:ascii="Times New Roman" w:hAnsi="Times New Roman" w:cs="Times New Roman"/>
          <w:sz w:val="22"/>
          <w:szCs w:val="22"/>
        </w:rPr>
      </w:pPr>
      <w:r w:rsidRPr="00387956">
        <w:rPr>
          <w:rStyle w:val="EndnoteReference"/>
          <w:rFonts w:ascii="Times New Roman" w:hAnsi="Times New Roman" w:cs="Times New Roman"/>
          <w:sz w:val="22"/>
          <w:szCs w:val="22"/>
        </w:rPr>
        <w:endnoteRef/>
      </w:r>
      <w:r w:rsidRPr="00387956">
        <w:rPr>
          <w:rFonts w:ascii="Times New Roman" w:hAnsi="Times New Roman" w:cs="Times New Roman"/>
          <w:sz w:val="22"/>
          <w:szCs w:val="22"/>
        </w:rPr>
        <w:t xml:space="preserve"> </w:t>
      </w:r>
      <w:r>
        <w:rPr>
          <w:rFonts w:ascii="Times New Roman" w:hAnsi="Times New Roman" w:cs="Times New Roman"/>
          <w:sz w:val="22"/>
          <w:szCs w:val="22"/>
        </w:rPr>
        <w:t xml:space="preserve">See </w:t>
      </w:r>
      <w:r w:rsidRPr="00D64296">
        <w:rPr>
          <w:rFonts w:ascii="Times New Roman" w:hAnsi="Times New Roman" w:cs="Times New Roman"/>
          <w:sz w:val="22"/>
          <w:szCs w:val="22"/>
        </w:rPr>
        <w:t xml:space="preserve">testimony of actuary Gary Fagg, </w:t>
      </w:r>
      <w:r>
        <w:rPr>
          <w:rFonts w:ascii="Times New Roman" w:hAnsi="Times New Roman" w:cs="Times New Roman"/>
          <w:sz w:val="22"/>
          <w:szCs w:val="22"/>
        </w:rPr>
        <w:t>Tr.</w:t>
      </w:r>
      <w:r w:rsidRPr="00D64296">
        <w:rPr>
          <w:rFonts w:ascii="Times New Roman" w:hAnsi="Times New Roman" w:cs="Times New Roman"/>
          <w:sz w:val="22"/>
          <w:szCs w:val="22"/>
        </w:rPr>
        <w:t xml:space="preserve"> at 437-447</w:t>
      </w:r>
      <w:r>
        <w:rPr>
          <w:rFonts w:ascii="Times New Roman" w:hAnsi="Times New Roman" w:cs="Times New Roman"/>
          <w:sz w:val="22"/>
          <w:szCs w:val="22"/>
        </w:rPr>
        <w:t>,</w:t>
      </w:r>
      <w:r w:rsidRPr="00D64296">
        <w:rPr>
          <w:rFonts w:ascii="Times New Roman" w:hAnsi="Times New Roman" w:cs="Times New Roman"/>
          <w:sz w:val="22"/>
          <w:szCs w:val="22"/>
        </w:rPr>
        <w:t xml:space="preserve"> Exhibit 114-P (Expert Report of Gary Fagg, March 27, 2017)</w:t>
      </w:r>
      <w:r>
        <w:rPr>
          <w:rFonts w:ascii="Times New Roman" w:hAnsi="Times New Roman" w:cs="Times New Roman"/>
          <w:sz w:val="22"/>
          <w:szCs w:val="22"/>
        </w:rPr>
        <w:t xml:space="preserve">, </w:t>
      </w:r>
      <w:r w:rsidRPr="00D64296">
        <w:rPr>
          <w:rFonts w:ascii="Times New Roman" w:hAnsi="Times New Roman" w:cs="Times New Roman"/>
          <w:sz w:val="22"/>
          <w:szCs w:val="22"/>
        </w:rPr>
        <w:t>Exhibit 52-J (Credit Insurance Coinsurance Contract Issued to PoolRe by Reserve, 2008 policy), Exhibit 72-J (Credit Insurance Coinsurance Contract Issued to PoolRe by Reserve, 2009 policy), and Exhibit 52-J (Credit Insurance Coinsurance Contract Issued to PoolRe by Reserve, 2010 policy).</w:t>
      </w:r>
      <w:r>
        <w:rPr>
          <w:rFonts w:ascii="Times New Roman" w:hAnsi="Times New Roman" w:cs="Times New Roman"/>
          <w:sz w:val="22"/>
          <w:szCs w:val="22"/>
        </w:rPr>
        <w:t xml:space="preserve">  Mr. Fagg’s uncontroverted testimony was that</w:t>
      </w:r>
      <w:r w:rsidRPr="00F057C7">
        <w:t xml:space="preserve"> </w:t>
      </w:r>
      <w:r w:rsidRPr="00F057C7">
        <w:rPr>
          <w:rFonts w:ascii="Times New Roman" w:hAnsi="Times New Roman" w:cs="Times New Roman"/>
          <w:sz w:val="22"/>
          <w:szCs w:val="22"/>
        </w:rPr>
        <w:t xml:space="preserve">Reserve agreed to assume a portion of the liability </w:t>
      </w:r>
      <w:r>
        <w:rPr>
          <w:rFonts w:ascii="Times New Roman" w:hAnsi="Times New Roman" w:cs="Times New Roman"/>
          <w:sz w:val="22"/>
          <w:szCs w:val="22"/>
        </w:rPr>
        <w:t xml:space="preserve">in exchange for </w:t>
      </w:r>
      <w:r w:rsidRPr="00F057C7">
        <w:rPr>
          <w:rFonts w:ascii="Times New Roman" w:hAnsi="Times New Roman" w:cs="Times New Roman"/>
          <w:sz w:val="22"/>
          <w:szCs w:val="22"/>
        </w:rPr>
        <w:t xml:space="preserve">premiums from an unrelated company, CreditRe Reassurance Corp., </w:t>
      </w:r>
      <w:r>
        <w:rPr>
          <w:rFonts w:ascii="Times New Roman" w:hAnsi="Times New Roman" w:cs="Times New Roman"/>
          <w:sz w:val="22"/>
          <w:szCs w:val="22"/>
        </w:rPr>
        <w:t xml:space="preserve">through PoolRe as an intermediary, </w:t>
      </w:r>
      <w:r w:rsidRPr="00F057C7">
        <w:rPr>
          <w:rFonts w:ascii="Times New Roman" w:hAnsi="Times New Roman" w:cs="Times New Roman"/>
          <w:sz w:val="22"/>
          <w:szCs w:val="22"/>
        </w:rPr>
        <w:t>with respect to contractual liability coverages that originated with Lyndon</w:t>
      </w:r>
      <w:r>
        <w:rPr>
          <w:rFonts w:ascii="Times New Roman" w:hAnsi="Times New Roman" w:cs="Times New Roman"/>
          <w:sz w:val="22"/>
          <w:szCs w:val="22"/>
        </w:rPr>
        <w:t xml:space="preserve"> Insurance</w:t>
      </w:r>
      <w:r w:rsidRPr="00F057C7">
        <w:rPr>
          <w:rFonts w:ascii="Times New Roman" w:hAnsi="Times New Roman" w:cs="Times New Roman"/>
          <w:sz w:val="22"/>
          <w:szCs w:val="22"/>
        </w:rPr>
        <w:t xml:space="preserve">.  </w:t>
      </w:r>
      <w:r>
        <w:rPr>
          <w:rFonts w:ascii="Times New Roman" w:hAnsi="Times New Roman" w:cs="Times New Roman"/>
          <w:sz w:val="22"/>
          <w:szCs w:val="22"/>
        </w:rPr>
        <w:t xml:space="preserve"> Mr. Fagg testified that he was </w:t>
      </w:r>
      <w:r w:rsidRPr="005E1193">
        <w:rPr>
          <w:rFonts w:ascii="Times New Roman" w:hAnsi="Times New Roman" w:cs="Times New Roman"/>
          <w:sz w:val="22"/>
          <w:szCs w:val="22"/>
        </w:rPr>
        <w:t>closely involved with negotiating and administering th</w:t>
      </w:r>
      <w:r>
        <w:rPr>
          <w:rFonts w:ascii="Times New Roman" w:hAnsi="Times New Roman" w:cs="Times New Roman"/>
          <w:sz w:val="22"/>
          <w:szCs w:val="22"/>
        </w:rPr>
        <w:t>is</w:t>
      </w:r>
      <w:r w:rsidRPr="005E1193">
        <w:rPr>
          <w:rFonts w:ascii="Times New Roman" w:hAnsi="Times New Roman" w:cs="Times New Roman"/>
          <w:sz w:val="22"/>
          <w:szCs w:val="22"/>
        </w:rPr>
        <w:t xml:space="preserve"> entire reinsurance arrangement</w:t>
      </w:r>
      <w:r>
        <w:rPr>
          <w:rFonts w:ascii="Times New Roman" w:hAnsi="Times New Roman" w:cs="Times New Roman"/>
          <w:sz w:val="22"/>
          <w:szCs w:val="22"/>
        </w:rPr>
        <w:t xml:space="preserve"> for each year at issue.</w:t>
      </w:r>
    </w:p>
    <w:p w14:paraId="3C7EFAC7" w14:textId="77777777" w:rsidR="00FC046A" w:rsidRPr="00387956" w:rsidRDefault="00FC046A">
      <w:pPr>
        <w:pStyle w:val="EndnoteText"/>
        <w:rPr>
          <w:rFonts w:ascii="Times New Roman" w:hAnsi="Times New Roman" w:cs="Times New Roman"/>
          <w:sz w:val="22"/>
          <w:szCs w:val="22"/>
        </w:rPr>
      </w:pPr>
    </w:p>
  </w:endnote>
  <w:endnote w:id="21">
    <w:p w14:paraId="54732317" w14:textId="1698E4DC" w:rsidR="00FC046A" w:rsidRPr="00720A7E" w:rsidRDefault="00FC046A">
      <w:pPr>
        <w:pStyle w:val="EndnoteText"/>
        <w:rPr>
          <w:rFonts w:ascii="Times New Roman" w:hAnsi="Times New Roman" w:cs="Times New Roman"/>
          <w:sz w:val="22"/>
          <w:szCs w:val="22"/>
        </w:rPr>
      </w:pPr>
      <w:r w:rsidRPr="00720A7E">
        <w:rPr>
          <w:rStyle w:val="EndnoteReference"/>
          <w:rFonts w:ascii="Times New Roman" w:hAnsi="Times New Roman" w:cs="Times New Roman"/>
          <w:sz w:val="22"/>
          <w:szCs w:val="22"/>
        </w:rPr>
        <w:endnoteRef/>
      </w:r>
      <w:r w:rsidRPr="00720A7E">
        <w:rPr>
          <w:rFonts w:ascii="Times New Roman" w:hAnsi="Times New Roman" w:cs="Times New Roman"/>
          <w:sz w:val="22"/>
          <w:szCs w:val="22"/>
        </w:rPr>
        <w:t xml:space="preserve"> See testimony of Steve Kinion, </w:t>
      </w:r>
      <w:r>
        <w:rPr>
          <w:rFonts w:ascii="Times New Roman" w:hAnsi="Times New Roman" w:cs="Times New Roman"/>
          <w:sz w:val="22"/>
          <w:szCs w:val="22"/>
        </w:rPr>
        <w:t>Tr.</w:t>
      </w:r>
      <w:r w:rsidRPr="00720A7E">
        <w:rPr>
          <w:rFonts w:ascii="Times New Roman" w:hAnsi="Times New Roman" w:cs="Times New Roman"/>
          <w:sz w:val="22"/>
          <w:szCs w:val="22"/>
        </w:rPr>
        <w:t xml:space="preserve"> at </w:t>
      </w:r>
      <w:r>
        <w:rPr>
          <w:rFonts w:ascii="Times New Roman" w:hAnsi="Times New Roman" w:cs="Times New Roman"/>
          <w:sz w:val="22"/>
          <w:szCs w:val="22"/>
        </w:rPr>
        <w:t>224.</w:t>
      </w:r>
    </w:p>
    <w:p w14:paraId="57FFC27D" w14:textId="77777777" w:rsidR="00FC046A" w:rsidRPr="00720A7E" w:rsidRDefault="00FC046A">
      <w:pPr>
        <w:pStyle w:val="EndnoteText"/>
        <w:rPr>
          <w:rFonts w:ascii="Times New Roman" w:hAnsi="Times New Roman" w:cs="Times New Roman"/>
          <w:sz w:val="22"/>
          <w:szCs w:val="22"/>
        </w:rPr>
      </w:pPr>
    </w:p>
  </w:endnote>
  <w:endnote w:id="22">
    <w:p w14:paraId="13799844" w14:textId="7E264A32" w:rsidR="00FC046A" w:rsidRDefault="00FC046A">
      <w:pPr>
        <w:pStyle w:val="EndnoteText"/>
        <w:rPr>
          <w:rFonts w:ascii="Times New Roman" w:hAnsi="Times New Roman" w:cs="Times New Roman"/>
          <w:sz w:val="22"/>
          <w:szCs w:val="22"/>
        </w:rPr>
      </w:pPr>
      <w:r w:rsidRPr="00F15A7E">
        <w:rPr>
          <w:rStyle w:val="EndnoteReference"/>
          <w:rFonts w:ascii="Times New Roman" w:hAnsi="Times New Roman" w:cs="Times New Roman"/>
          <w:sz w:val="22"/>
          <w:szCs w:val="22"/>
        </w:rPr>
        <w:endnoteRef/>
      </w:r>
      <w:r w:rsidRPr="00F15A7E">
        <w:rPr>
          <w:rFonts w:ascii="Times New Roman" w:hAnsi="Times New Roman" w:cs="Times New Roman"/>
          <w:sz w:val="22"/>
          <w:szCs w:val="22"/>
        </w:rPr>
        <w:t xml:space="preserve"> </w:t>
      </w:r>
      <w:r w:rsidRPr="00DA0AEF">
        <w:rPr>
          <w:rFonts w:ascii="Times New Roman" w:hAnsi="Times New Roman" w:cs="Times New Roman"/>
          <w:sz w:val="22"/>
          <w:szCs w:val="22"/>
        </w:rPr>
        <w:t xml:space="preserve">See testimony of Dr. Neil Doherty, </w:t>
      </w:r>
      <w:r>
        <w:rPr>
          <w:rFonts w:ascii="Times New Roman" w:hAnsi="Times New Roman" w:cs="Times New Roman"/>
          <w:sz w:val="22"/>
          <w:szCs w:val="22"/>
        </w:rPr>
        <w:t>Tr.</w:t>
      </w:r>
      <w:r w:rsidRPr="00DA0AEF">
        <w:rPr>
          <w:rFonts w:ascii="Times New Roman" w:hAnsi="Times New Roman" w:cs="Times New Roman"/>
          <w:sz w:val="22"/>
          <w:szCs w:val="22"/>
        </w:rPr>
        <w:t xml:space="preserve"> at 267-269</w:t>
      </w:r>
      <w:r>
        <w:rPr>
          <w:rFonts w:ascii="Times New Roman" w:hAnsi="Times New Roman" w:cs="Times New Roman"/>
          <w:sz w:val="22"/>
          <w:szCs w:val="22"/>
        </w:rPr>
        <w:t xml:space="preserve">, </w:t>
      </w:r>
      <w:r w:rsidRPr="00DA0AEF">
        <w:rPr>
          <w:rFonts w:ascii="Times New Roman" w:hAnsi="Times New Roman" w:cs="Times New Roman"/>
          <w:sz w:val="22"/>
          <w:szCs w:val="22"/>
        </w:rPr>
        <w:t>280-282.</w:t>
      </w:r>
    </w:p>
    <w:p w14:paraId="5445C8D3" w14:textId="77777777" w:rsidR="00FC046A" w:rsidRPr="00F15A7E" w:rsidRDefault="00FC046A">
      <w:pPr>
        <w:pStyle w:val="EndnoteText"/>
        <w:rPr>
          <w:rFonts w:ascii="Times New Roman" w:hAnsi="Times New Roman" w:cs="Times New Roman"/>
          <w:sz w:val="22"/>
          <w:szCs w:val="22"/>
        </w:rPr>
      </w:pPr>
    </w:p>
  </w:endnote>
  <w:endnote w:id="23">
    <w:p w14:paraId="64CF815C" w14:textId="7998DDFA" w:rsidR="00FC046A" w:rsidRPr="00421F6E" w:rsidRDefault="00FC046A">
      <w:pPr>
        <w:pStyle w:val="EndnoteText"/>
        <w:rPr>
          <w:rFonts w:ascii="Times New Roman" w:hAnsi="Times New Roman" w:cs="Times New Roman"/>
          <w:sz w:val="22"/>
          <w:szCs w:val="22"/>
        </w:rPr>
      </w:pPr>
      <w:r w:rsidRPr="00421F6E">
        <w:rPr>
          <w:rStyle w:val="EndnoteReference"/>
          <w:rFonts w:ascii="Times New Roman" w:hAnsi="Times New Roman" w:cs="Times New Roman"/>
          <w:sz w:val="22"/>
          <w:szCs w:val="22"/>
        </w:rPr>
        <w:endnoteRef/>
      </w:r>
      <w:r w:rsidRPr="00421F6E">
        <w:rPr>
          <w:rFonts w:ascii="Times New Roman" w:hAnsi="Times New Roman" w:cs="Times New Roman"/>
          <w:sz w:val="22"/>
          <w:szCs w:val="22"/>
        </w:rPr>
        <w:t xml:space="preserve"> See testimony of Dr. Neil Doherty, </w:t>
      </w:r>
      <w:r>
        <w:rPr>
          <w:rFonts w:ascii="Times New Roman" w:hAnsi="Times New Roman" w:cs="Times New Roman"/>
          <w:sz w:val="22"/>
          <w:szCs w:val="22"/>
        </w:rPr>
        <w:t>Tr.</w:t>
      </w:r>
      <w:r w:rsidRPr="00421F6E">
        <w:rPr>
          <w:rFonts w:ascii="Times New Roman" w:hAnsi="Times New Roman" w:cs="Times New Roman"/>
          <w:sz w:val="22"/>
          <w:szCs w:val="22"/>
        </w:rPr>
        <w:t xml:space="preserve"> at 267-269</w:t>
      </w:r>
      <w:r>
        <w:rPr>
          <w:rFonts w:ascii="Times New Roman" w:hAnsi="Times New Roman" w:cs="Times New Roman"/>
          <w:sz w:val="22"/>
          <w:szCs w:val="22"/>
        </w:rPr>
        <w:t xml:space="preserve">, </w:t>
      </w:r>
      <w:r w:rsidRPr="00421F6E">
        <w:rPr>
          <w:rFonts w:ascii="Times New Roman" w:hAnsi="Times New Roman" w:cs="Times New Roman"/>
          <w:sz w:val="22"/>
          <w:szCs w:val="22"/>
        </w:rPr>
        <w:t>280-282.</w:t>
      </w:r>
    </w:p>
    <w:p w14:paraId="07A28A74" w14:textId="77777777" w:rsidR="00FC046A" w:rsidRPr="00421F6E" w:rsidRDefault="00FC046A">
      <w:pPr>
        <w:pStyle w:val="EndnoteText"/>
        <w:rPr>
          <w:rFonts w:ascii="Times New Roman" w:hAnsi="Times New Roman" w:cs="Times New Roman"/>
          <w:sz w:val="22"/>
          <w:szCs w:val="22"/>
        </w:rPr>
      </w:pPr>
    </w:p>
  </w:endnote>
  <w:endnote w:id="24">
    <w:p w14:paraId="477C6B9B" w14:textId="324F6B83" w:rsidR="00FC046A" w:rsidRPr="005B385A" w:rsidRDefault="00FC046A">
      <w:pPr>
        <w:pStyle w:val="EndnoteText"/>
        <w:rPr>
          <w:rFonts w:ascii="Times New Roman" w:hAnsi="Times New Roman" w:cs="Times New Roman"/>
          <w:sz w:val="22"/>
          <w:szCs w:val="22"/>
        </w:rPr>
      </w:pPr>
      <w:r w:rsidRPr="00B92F5C">
        <w:rPr>
          <w:rStyle w:val="EndnoteReference"/>
          <w:rFonts w:ascii="Times New Roman" w:hAnsi="Times New Roman" w:cs="Times New Roman"/>
          <w:sz w:val="22"/>
          <w:szCs w:val="22"/>
        </w:rPr>
        <w:endnoteRef/>
      </w:r>
      <w:r w:rsidRPr="00B92F5C">
        <w:rPr>
          <w:rFonts w:ascii="Times New Roman" w:hAnsi="Times New Roman" w:cs="Times New Roman"/>
          <w:sz w:val="22"/>
          <w:szCs w:val="22"/>
        </w:rPr>
        <w:t xml:space="preserve"> See testimony of Esperanza Mead, </w:t>
      </w:r>
      <w:r>
        <w:rPr>
          <w:rFonts w:ascii="Times New Roman" w:hAnsi="Times New Roman" w:cs="Times New Roman"/>
          <w:sz w:val="22"/>
          <w:szCs w:val="22"/>
        </w:rPr>
        <w:t>Tr.</w:t>
      </w:r>
      <w:r w:rsidRPr="00B92F5C">
        <w:rPr>
          <w:rFonts w:ascii="Times New Roman" w:hAnsi="Times New Roman" w:cs="Times New Roman"/>
          <w:sz w:val="22"/>
          <w:szCs w:val="22"/>
        </w:rPr>
        <w:t xml:space="preserve"> at 407-436, and Exhibit 113-P (Expert Actuarial Peer Review Report of Esperanza Mead dated March 10, 2017). See also testimony of Michael </w:t>
      </w:r>
      <w:r w:rsidRPr="005B385A">
        <w:rPr>
          <w:rFonts w:ascii="Times New Roman" w:hAnsi="Times New Roman" w:cs="Times New Roman"/>
          <w:sz w:val="22"/>
          <w:szCs w:val="22"/>
        </w:rPr>
        <w:t xml:space="preserve">Solomon, </w:t>
      </w:r>
      <w:r>
        <w:rPr>
          <w:rFonts w:ascii="Times New Roman" w:hAnsi="Times New Roman" w:cs="Times New Roman"/>
          <w:sz w:val="22"/>
          <w:szCs w:val="22"/>
        </w:rPr>
        <w:t>Tr.</w:t>
      </w:r>
      <w:r w:rsidRPr="005B385A">
        <w:rPr>
          <w:rFonts w:ascii="Times New Roman" w:hAnsi="Times New Roman" w:cs="Times New Roman"/>
          <w:sz w:val="22"/>
          <w:szCs w:val="22"/>
        </w:rPr>
        <w:t xml:space="preserve"> at 466-494, and Exhibit 117-P (Expert Actuarial Review Report of Michael Solomon dated March 27, 2017).</w:t>
      </w:r>
    </w:p>
    <w:p w14:paraId="0A4D87BC" w14:textId="77777777" w:rsidR="00FC046A" w:rsidRPr="005B385A" w:rsidRDefault="00FC046A">
      <w:pPr>
        <w:pStyle w:val="EndnoteText"/>
        <w:rPr>
          <w:rFonts w:ascii="Times New Roman" w:hAnsi="Times New Roman" w:cs="Times New Roman"/>
          <w:sz w:val="22"/>
          <w:szCs w:val="22"/>
        </w:rPr>
      </w:pPr>
    </w:p>
  </w:endnote>
  <w:endnote w:id="25">
    <w:p w14:paraId="2C30038B" w14:textId="7C283AD6" w:rsidR="00FC046A" w:rsidRPr="00707263" w:rsidRDefault="00FC046A">
      <w:pPr>
        <w:pStyle w:val="EndnoteText"/>
        <w:rPr>
          <w:rFonts w:ascii="Times New Roman" w:hAnsi="Times New Roman" w:cs="Times New Roman"/>
          <w:sz w:val="22"/>
          <w:szCs w:val="22"/>
        </w:rPr>
      </w:pPr>
      <w:r w:rsidRPr="005B385A">
        <w:rPr>
          <w:rStyle w:val="EndnoteReference"/>
          <w:rFonts w:ascii="Times New Roman" w:hAnsi="Times New Roman" w:cs="Times New Roman"/>
          <w:sz w:val="22"/>
          <w:szCs w:val="22"/>
        </w:rPr>
        <w:endnoteRef/>
      </w:r>
      <w:r w:rsidRPr="005B385A">
        <w:rPr>
          <w:rFonts w:ascii="Times New Roman" w:hAnsi="Times New Roman" w:cs="Times New Roman"/>
          <w:sz w:val="22"/>
          <w:szCs w:val="22"/>
        </w:rPr>
        <w:t xml:space="preserve"> See testimony of Dr. Neil Doherty, </w:t>
      </w:r>
      <w:r>
        <w:rPr>
          <w:rFonts w:ascii="Times New Roman" w:hAnsi="Times New Roman" w:cs="Times New Roman"/>
          <w:sz w:val="22"/>
          <w:szCs w:val="22"/>
        </w:rPr>
        <w:t>Tr.</w:t>
      </w:r>
      <w:r w:rsidRPr="005B385A">
        <w:rPr>
          <w:rFonts w:ascii="Times New Roman" w:hAnsi="Times New Roman" w:cs="Times New Roman"/>
          <w:sz w:val="22"/>
          <w:szCs w:val="22"/>
        </w:rPr>
        <w:t xml:space="preserve"> at 235-236 and Exhibit 104-P (Expert Report of </w:t>
      </w:r>
      <w:r w:rsidRPr="00707263">
        <w:rPr>
          <w:rFonts w:ascii="Times New Roman" w:hAnsi="Times New Roman" w:cs="Times New Roman"/>
          <w:sz w:val="22"/>
          <w:szCs w:val="22"/>
        </w:rPr>
        <w:t>Dr. Neil Doherty, dated March 27, 2017).</w:t>
      </w:r>
    </w:p>
    <w:p w14:paraId="4293B05D" w14:textId="77777777" w:rsidR="00FC046A" w:rsidRPr="00707263" w:rsidRDefault="00FC046A">
      <w:pPr>
        <w:pStyle w:val="EndnoteText"/>
        <w:rPr>
          <w:rFonts w:ascii="Times New Roman" w:hAnsi="Times New Roman" w:cs="Times New Roman"/>
          <w:sz w:val="22"/>
          <w:szCs w:val="22"/>
        </w:rPr>
      </w:pPr>
    </w:p>
  </w:endnote>
  <w:endnote w:id="26">
    <w:p w14:paraId="3AD99D5D" w14:textId="2E6623B9" w:rsidR="00FC046A" w:rsidRPr="00707263" w:rsidRDefault="00FC046A">
      <w:pPr>
        <w:pStyle w:val="EndnoteText"/>
        <w:rPr>
          <w:rFonts w:ascii="Times New Roman" w:hAnsi="Times New Roman" w:cs="Times New Roman"/>
          <w:sz w:val="22"/>
          <w:szCs w:val="22"/>
        </w:rPr>
      </w:pPr>
      <w:r w:rsidRPr="00707263">
        <w:rPr>
          <w:rStyle w:val="EndnoteReference"/>
          <w:rFonts w:ascii="Times New Roman" w:hAnsi="Times New Roman" w:cs="Times New Roman"/>
          <w:sz w:val="22"/>
          <w:szCs w:val="22"/>
        </w:rPr>
        <w:endnoteRef/>
      </w:r>
      <w:r w:rsidRPr="00707263">
        <w:rPr>
          <w:rFonts w:ascii="Times New Roman" w:hAnsi="Times New Roman" w:cs="Times New Roman"/>
          <w:sz w:val="22"/>
          <w:szCs w:val="22"/>
        </w:rPr>
        <w:t xml:space="preserve"> See testimony of Lance McNeel, </w:t>
      </w:r>
      <w:r>
        <w:rPr>
          <w:rFonts w:ascii="Times New Roman" w:hAnsi="Times New Roman" w:cs="Times New Roman"/>
          <w:sz w:val="22"/>
          <w:szCs w:val="22"/>
        </w:rPr>
        <w:t>Tr.</w:t>
      </w:r>
      <w:r w:rsidRPr="00707263">
        <w:rPr>
          <w:rFonts w:ascii="Times New Roman" w:hAnsi="Times New Roman" w:cs="Times New Roman"/>
          <w:sz w:val="22"/>
          <w:szCs w:val="22"/>
        </w:rPr>
        <w:t xml:space="preserve"> at 323-361.</w:t>
      </w:r>
    </w:p>
    <w:p w14:paraId="70BA85EC" w14:textId="77777777" w:rsidR="00FC046A" w:rsidRPr="00707263" w:rsidRDefault="00FC046A">
      <w:pPr>
        <w:pStyle w:val="EndnoteText"/>
        <w:rPr>
          <w:rFonts w:ascii="Times New Roman" w:hAnsi="Times New Roman" w:cs="Times New Roman"/>
          <w:sz w:val="22"/>
          <w:szCs w:val="22"/>
        </w:rPr>
      </w:pPr>
    </w:p>
  </w:endnote>
  <w:endnote w:id="27">
    <w:p w14:paraId="660DC8B5" w14:textId="1F752CFA" w:rsidR="00FC046A" w:rsidRPr="004529DF" w:rsidRDefault="00FC046A">
      <w:pPr>
        <w:pStyle w:val="EndnoteText"/>
        <w:rPr>
          <w:rFonts w:ascii="Times New Roman" w:hAnsi="Times New Roman" w:cs="Times New Roman"/>
          <w:sz w:val="22"/>
          <w:szCs w:val="22"/>
        </w:rPr>
      </w:pPr>
      <w:r w:rsidRPr="008776D6">
        <w:rPr>
          <w:rStyle w:val="EndnoteReference"/>
          <w:rFonts w:ascii="Times New Roman" w:hAnsi="Times New Roman" w:cs="Times New Roman"/>
          <w:sz w:val="22"/>
          <w:szCs w:val="22"/>
        </w:rPr>
        <w:endnoteRef/>
      </w:r>
      <w:r w:rsidRPr="008776D6">
        <w:rPr>
          <w:rFonts w:ascii="Times New Roman" w:hAnsi="Times New Roman" w:cs="Times New Roman"/>
          <w:sz w:val="22"/>
          <w:szCs w:val="22"/>
        </w:rPr>
        <w:t xml:space="preserve"> See </w:t>
      </w:r>
      <w:r w:rsidRPr="004529DF">
        <w:rPr>
          <w:rFonts w:ascii="Times New Roman" w:hAnsi="Times New Roman" w:cs="Times New Roman"/>
          <w:sz w:val="22"/>
          <w:szCs w:val="22"/>
        </w:rPr>
        <w:t xml:space="preserve">testimony of Steve Kinion, </w:t>
      </w:r>
      <w:r>
        <w:rPr>
          <w:rFonts w:ascii="Times New Roman" w:hAnsi="Times New Roman" w:cs="Times New Roman"/>
          <w:sz w:val="22"/>
          <w:szCs w:val="22"/>
        </w:rPr>
        <w:t>Tr.</w:t>
      </w:r>
      <w:r w:rsidRPr="004529DF">
        <w:rPr>
          <w:rFonts w:ascii="Times New Roman" w:hAnsi="Times New Roman" w:cs="Times New Roman"/>
          <w:sz w:val="22"/>
          <w:szCs w:val="22"/>
        </w:rPr>
        <w:t xml:space="preserve"> at 197-226</w:t>
      </w:r>
      <w:r>
        <w:rPr>
          <w:rFonts w:ascii="Times New Roman" w:hAnsi="Times New Roman" w:cs="Times New Roman"/>
          <w:sz w:val="22"/>
          <w:szCs w:val="22"/>
        </w:rPr>
        <w:t xml:space="preserve"> </w:t>
      </w:r>
      <w:r w:rsidRPr="00851816">
        <w:rPr>
          <w:rFonts w:ascii="Times New Roman" w:hAnsi="Times New Roman" w:cs="Times New Roman"/>
          <w:sz w:val="22"/>
          <w:szCs w:val="22"/>
        </w:rPr>
        <w:t>and Exhibit 103-P (Expert Report of Steve Kinion dated March 26, 2017).</w:t>
      </w:r>
    </w:p>
    <w:p w14:paraId="6A0C1440" w14:textId="77777777" w:rsidR="00FC046A" w:rsidRPr="004529DF" w:rsidRDefault="00FC046A">
      <w:pPr>
        <w:pStyle w:val="EndnoteText"/>
        <w:rPr>
          <w:rFonts w:ascii="Times New Roman" w:hAnsi="Times New Roman" w:cs="Times New Roman"/>
          <w:sz w:val="22"/>
          <w:szCs w:val="22"/>
        </w:rPr>
      </w:pPr>
    </w:p>
  </w:endnote>
  <w:endnote w:id="28">
    <w:p w14:paraId="0F7C7E1F" w14:textId="6D4B3235" w:rsidR="00FC046A" w:rsidRPr="004529DF" w:rsidRDefault="00FC046A">
      <w:pPr>
        <w:pStyle w:val="EndnoteText"/>
        <w:rPr>
          <w:rFonts w:ascii="Times New Roman" w:hAnsi="Times New Roman" w:cs="Times New Roman"/>
          <w:sz w:val="22"/>
          <w:szCs w:val="22"/>
        </w:rPr>
      </w:pPr>
      <w:r w:rsidRPr="004529DF">
        <w:rPr>
          <w:rStyle w:val="EndnoteReference"/>
          <w:rFonts w:ascii="Times New Roman" w:hAnsi="Times New Roman" w:cs="Times New Roman"/>
          <w:sz w:val="22"/>
          <w:szCs w:val="22"/>
        </w:rPr>
        <w:endnoteRef/>
      </w:r>
      <w:r w:rsidRPr="004529DF">
        <w:rPr>
          <w:rFonts w:ascii="Times New Roman" w:hAnsi="Times New Roman" w:cs="Times New Roman"/>
          <w:sz w:val="22"/>
          <w:szCs w:val="22"/>
        </w:rPr>
        <w:t xml:space="preserve"> See testimony of David Liptz, </w:t>
      </w:r>
      <w:r>
        <w:rPr>
          <w:rFonts w:ascii="Times New Roman" w:hAnsi="Times New Roman" w:cs="Times New Roman"/>
          <w:sz w:val="22"/>
          <w:szCs w:val="22"/>
        </w:rPr>
        <w:t>Tr.</w:t>
      </w:r>
      <w:r w:rsidRPr="004529DF">
        <w:rPr>
          <w:rFonts w:ascii="Times New Roman" w:hAnsi="Times New Roman" w:cs="Times New Roman"/>
          <w:sz w:val="22"/>
          <w:szCs w:val="22"/>
        </w:rPr>
        <w:t xml:space="preserve"> at 520-595</w:t>
      </w:r>
      <w:r>
        <w:rPr>
          <w:rFonts w:ascii="Times New Roman" w:hAnsi="Times New Roman" w:cs="Times New Roman"/>
          <w:sz w:val="22"/>
          <w:szCs w:val="22"/>
        </w:rPr>
        <w:t xml:space="preserve"> and Exhibit 130-P (</w:t>
      </w:r>
      <w:r w:rsidRPr="000E3C22">
        <w:rPr>
          <w:rFonts w:ascii="Times New Roman" w:hAnsi="Times New Roman" w:cs="Times New Roman"/>
          <w:sz w:val="22"/>
          <w:szCs w:val="22"/>
        </w:rPr>
        <w:t xml:space="preserve">Expert Report of David B. Liptz, CPA </w:t>
      </w:r>
      <w:r>
        <w:rPr>
          <w:rFonts w:ascii="Times New Roman" w:hAnsi="Times New Roman" w:cs="Times New Roman"/>
          <w:sz w:val="22"/>
          <w:szCs w:val="22"/>
        </w:rPr>
        <w:t>dated March 23, 2017).</w:t>
      </w:r>
    </w:p>
    <w:p w14:paraId="60264D75" w14:textId="77777777" w:rsidR="00FC046A" w:rsidRPr="00FF31D2" w:rsidRDefault="00FC046A">
      <w:pPr>
        <w:pStyle w:val="EndnoteText"/>
        <w:rPr>
          <w:rFonts w:ascii="Times New Roman" w:hAnsi="Times New Roman" w:cs="Times New Roman"/>
          <w:sz w:val="22"/>
          <w:szCs w:val="22"/>
        </w:rPr>
      </w:pPr>
    </w:p>
  </w:endnote>
  <w:endnote w:id="29">
    <w:p w14:paraId="3C914D15" w14:textId="78D20EB7" w:rsidR="00FC046A" w:rsidRPr="00FF31D2" w:rsidRDefault="00FC046A">
      <w:pPr>
        <w:pStyle w:val="EndnoteText"/>
        <w:rPr>
          <w:rFonts w:ascii="Times New Roman" w:hAnsi="Times New Roman" w:cs="Times New Roman"/>
          <w:sz w:val="22"/>
          <w:szCs w:val="22"/>
        </w:rPr>
      </w:pPr>
      <w:r w:rsidRPr="00FF31D2">
        <w:rPr>
          <w:rStyle w:val="EndnoteReference"/>
          <w:rFonts w:ascii="Times New Roman" w:hAnsi="Times New Roman" w:cs="Times New Roman"/>
          <w:sz w:val="22"/>
          <w:szCs w:val="22"/>
        </w:rPr>
        <w:endnoteRef/>
      </w:r>
      <w:r w:rsidRPr="00FF31D2">
        <w:rPr>
          <w:rFonts w:ascii="Times New Roman" w:hAnsi="Times New Roman" w:cs="Times New Roman"/>
          <w:sz w:val="22"/>
          <w:szCs w:val="22"/>
        </w:rPr>
        <w:t xml:space="preserve"> </w:t>
      </w:r>
      <w:r w:rsidRPr="00F54B75">
        <w:rPr>
          <w:rFonts w:ascii="Times New Roman" w:hAnsi="Times New Roman" w:cs="Times New Roman"/>
          <w:sz w:val="22"/>
          <w:szCs w:val="22"/>
        </w:rPr>
        <w:t xml:space="preserve">See testimony of Bob Snyder, </w:t>
      </w:r>
      <w:r>
        <w:rPr>
          <w:rFonts w:ascii="Times New Roman" w:hAnsi="Times New Roman" w:cs="Times New Roman"/>
          <w:sz w:val="22"/>
          <w:szCs w:val="22"/>
        </w:rPr>
        <w:t>Tr.</w:t>
      </w:r>
      <w:r w:rsidRPr="00F54B75">
        <w:rPr>
          <w:rFonts w:ascii="Times New Roman" w:hAnsi="Times New Roman" w:cs="Times New Roman"/>
          <w:sz w:val="22"/>
          <w:szCs w:val="22"/>
        </w:rPr>
        <w:t xml:space="preserve"> at </w:t>
      </w:r>
      <w:r>
        <w:rPr>
          <w:rFonts w:ascii="Times New Roman" w:hAnsi="Times New Roman" w:cs="Times New Roman"/>
          <w:sz w:val="22"/>
          <w:szCs w:val="22"/>
        </w:rPr>
        <w:t xml:space="preserve">18-85 and </w:t>
      </w:r>
      <w:r w:rsidRPr="001B6823">
        <w:rPr>
          <w:rFonts w:ascii="Times New Roman" w:hAnsi="Times New Roman" w:cs="Times New Roman"/>
          <w:sz w:val="22"/>
          <w:szCs w:val="22"/>
        </w:rPr>
        <w:t>Exhibit 97-P (Expert Report of Bob Snyder, dated March 27, 2017).</w:t>
      </w:r>
    </w:p>
    <w:p w14:paraId="3164000C" w14:textId="77777777" w:rsidR="00FC046A" w:rsidRPr="00A8259E" w:rsidRDefault="00FC046A">
      <w:pPr>
        <w:pStyle w:val="EndnoteText"/>
        <w:rPr>
          <w:rFonts w:ascii="Times New Roman" w:hAnsi="Times New Roman" w:cs="Times New Roman"/>
          <w:sz w:val="22"/>
          <w:szCs w:val="22"/>
        </w:rPr>
      </w:pPr>
    </w:p>
  </w:endnote>
  <w:endnote w:id="30">
    <w:p w14:paraId="7953CB20" w14:textId="5B9D0B45" w:rsidR="00FC046A" w:rsidRPr="00A8259E" w:rsidRDefault="00FC046A">
      <w:pPr>
        <w:pStyle w:val="EndnoteText"/>
        <w:rPr>
          <w:rFonts w:ascii="Times New Roman" w:hAnsi="Times New Roman" w:cs="Times New Roman"/>
          <w:sz w:val="22"/>
          <w:szCs w:val="22"/>
        </w:rPr>
      </w:pPr>
      <w:r w:rsidRPr="00A8259E">
        <w:rPr>
          <w:rStyle w:val="EndnoteReference"/>
          <w:rFonts w:ascii="Times New Roman" w:hAnsi="Times New Roman" w:cs="Times New Roman"/>
          <w:sz w:val="22"/>
          <w:szCs w:val="22"/>
        </w:rPr>
        <w:endnoteRef/>
      </w:r>
      <w:r w:rsidRPr="00A8259E">
        <w:rPr>
          <w:rFonts w:ascii="Times New Roman" w:hAnsi="Times New Roman" w:cs="Times New Roman"/>
          <w:sz w:val="22"/>
          <w:szCs w:val="22"/>
        </w:rPr>
        <w:t xml:space="preserve"> See testimony of Gary Fagg, </w:t>
      </w:r>
      <w:r>
        <w:rPr>
          <w:rFonts w:ascii="Times New Roman" w:hAnsi="Times New Roman" w:cs="Times New Roman"/>
          <w:sz w:val="22"/>
          <w:szCs w:val="22"/>
        </w:rPr>
        <w:t>Tr.</w:t>
      </w:r>
      <w:r w:rsidRPr="00A8259E">
        <w:rPr>
          <w:rFonts w:ascii="Times New Roman" w:hAnsi="Times New Roman" w:cs="Times New Roman"/>
          <w:sz w:val="22"/>
          <w:szCs w:val="22"/>
        </w:rPr>
        <w:t xml:space="preserve"> at </w:t>
      </w:r>
      <w:r>
        <w:rPr>
          <w:rFonts w:ascii="Times New Roman" w:hAnsi="Times New Roman" w:cs="Times New Roman"/>
          <w:sz w:val="22"/>
          <w:szCs w:val="22"/>
        </w:rPr>
        <w:t>437-447 and Exhibit 114-P (</w:t>
      </w:r>
      <w:r w:rsidRPr="00C16B67">
        <w:rPr>
          <w:rFonts w:ascii="Times New Roman" w:hAnsi="Times New Roman" w:cs="Times New Roman"/>
          <w:sz w:val="22"/>
          <w:szCs w:val="22"/>
        </w:rPr>
        <w:t>Expert Report of Gary Fagg</w:t>
      </w:r>
      <w:r>
        <w:rPr>
          <w:rFonts w:ascii="Times New Roman" w:hAnsi="Times New Roman" w:cs="Times New Roman"/>
          <w:sz w:val="22"/>
          <w:szCs w:val="22"/>
        </w:rPr>
        <w:t xml:space="preserve"> dated March 27, 2017).</w:t>
      </w:r>
    </w:p>
    <w:p w14:paraId="2D80F268" w14:textId="77777777" w:rsidR="00FC046A" w:rsidRPr="00A8259E" w:rsidRDefault="00FC046A">
      <w:pPr>
        <w:pStyle w:val="EndnoteText"/>
        <w:rPr>
          <w:rFonts w:ascii="Times New Roman" w:hAnsi="Times New Roman" w:cs="Times New Roman"/>
          <w:sz w:val="22"/>
          <w:szCs w:val="22"/>
        </w:rPr>
      </w:pPr>
    </w:p>
  </w:endnote>
  <w:endnote w:id="31">
    <w:p w14:paraId="01A64A6D" w14:textId="29913FF5" w:rsidR="00FC046A" w:rsidRPr="00FE4D8A" w:rsidRDefault="00FC046A">
      <w:pPr>
        <w:pStyle w:val="EndnoteText"/>
        <w:rPr>
          <w:rFonts w:ascii="Times New Roman" w:hAnsi="Times New Roman" w:cs="Times New Roman"/>
          <w:sz w:val="22"/>
          <w:szCs w:val="22"/>
        </w:rPr>
      </w:pPr>
      <w:r w:rsidRPr="004529DF">
        <w:rPr>
          <w:rStyle w:val="EndnoteReference"/>
          <w:rFonts w:ascii="Times New Roman" w:hAnsi="Times New Roman" w:cs="Times New Roman"/>
          <w:sz w:val="22"/>
          <w:szCs w:val="22"/>
        </w:rPr>
        <w:endnoteRef/>
      </w:r>
      <w:r w:rsidRPr="004529DF">
        <w:rPr>
          <w:rFonts w:ascii="Times New Roman" w:hAnsi="Times New Roman" w:cs="Times New Roman"/>
          <w:sz w:val="22"/>
          <w:szCs w:val="22"/>
        </w:rPr>
        <w:t xml:space="preserve"> See Exhibit 95-J (Letter from</w:t>
      </w:r>
      <w:r w:rsidRPr="005B385A">
        <w:rPr>
          <w:rFonts w:ascii="Times New Roman" w:hAnsi="Times New Roman" w:cs="Times New Roman"/>
          <w:sz w:val="22"/>
          <w:szCs w:val="22"/>
        </w:rPr>
        <w:t xml:space="preserve"> actuary Steven Glicksman to Capstone’s Lance McNeel, CPCU dated January 31, 2012</w:t>
      </w:r>
      <w:r>
        <w:rPr>
          <w:rFonts w:ascii="Times New Roman" w:hAnsi="Times New Roman" w:cs="Times New Roman"/>
          <w:sz w:val="22"/>
          <w:szCs w:val="22"/>
        </w:rPr>
        <w:t xml:space="preserve"> with </w:t>
      </w:r>
      <w:r w:rsidRPr="00D55CF2">
        <w:rPr>
          <w:rFonts w:ascii="Times New Roman" w:hAnsi="Times New Roman" w:cs="Times New Roman"/>
          <w:sz w:val="22"/>
          <w:szCs w:val="22"/>
        </w:rPr>
        <w:t>“Discussion of PoolRe’s Coverage Options”</w:t>
      </w:r>
      <w:r>
        <w:rPr>
          <w:rFonts w:ascii="Times New Roman" w:hAnsi="Times New Roman" w:cs="Times New Roman"/>
          <w:sz w:val="22"/>
          <w:szCs w:val="22"/>
        </w:rPr>
        <w:t xml:space="preserve">), which also referenced a previous letter from Mr. Glicksman dated </w:t>
      </w:r>
      <w:r w:rsidRPr="00FE4D8A">
        <w:rPr>
          <w:rFonts w:ascii="Times New Roman" w:hAnsi="Times New Roman" w:cs="Times New Roman"/>
          <w:sz w:val="22"/>
          <w:szCs w:val="22"/>
        </w:rPr>
        <w:t>October 20, 2009.</w:t>
      </w:r>
    </w:p>
    <w:p w14:paraId="6381F99C" w14:textId="77777777" w:rsidR="00FC046A" w:rsidRPr="003A5F42" w:rsidRDefault="00FC046A">
      <w:pPr>
        <w:pStyle w:val="EndnoteText"/>
        <w:rPr>
          <w:rFonts w:ascii="Times New Roman" w:hAnsi="Times New Roman" w:cs="Times New Roman"/>
          <w:sz w:val="22"/>
          <w:szCs w:val="22"/>
        </w:rPr>
      </w:pPr>
    </w:p>
  </w:endnote>
  <w:endnote w:id="32">
    <w:p w14:paraId="37235DEB" w14:textId="589D9A47" w:rsidR="00FC046A" w:rsidRPr="003A5F42" w:rsidRDefault="00FC046A">
      <w:pPr>
        <w:pStyle w:val="EndnoteText"/>
        <w:rPr>
          <w:rFonts w:ascii="Times New Roman" w:hAnsi="Times New Roman" w:cs="Times New Roman"/>
          <w:sz w:val="22"/>
          <w:szCs w:val="22"/>
        </w:rPr>
      </w:pPr>
      <w:r w:rsidRPr="003A5F42">
        <w:rPr>
          <w:rStyle w:val="EndnoteReference"/>
          <w:rFonts w:ascii="Times New Roman" w:hAnsi="Times New Roman" w:cs="Times New Roman"/>
          <w:sz w:val="22"/>
          <w:szCs w:val="22"/>
        </w:rPr>
        <w:endnoteRef/>
      </w:r>
      <w:r w:rsidRPr="003A5F42">
        <w:rPr>
          <w:rFonts w:ascii="Times New Roman" w:hAnsi="Times New Roman" w:cs="Times New Roman"/>
          <w:sz w:val="22"/>
          <w:szCs w:val="22"/>
        </w:rPr>
        <w:t xml:space="preserve"> See testimony of Donald J. Riggin, Tr. at 925 and Exhibit 136-R (Opening Expert Report of Donald J. Riggin, dated March 27, 2017).  Mr. Riggin</w:t>
      </w:r>
      <w:r>
        <w:rPr>
          <w:rFonts w:ascii="Times New Roman" w:hAnsi="Times New Roman" w:cs="Times New Roman"/>
          <w:sz w:val="22"/>
          <w:szCs w:val="22"/>
        </w:rPr>
        <w:t xml:space="preserve"> </w:t>
      </w:r>
      <w:r w:rsidRPr="003A5F42">
        <w:rPr>
          <w:rFonts w:ascii="Times New Roman" w:hAnsi="Times New Roman" w:cs="Times New Roman"/>
          <w:sz w:val="22"/>
          <w:szCs w:val="22"/>
        </w:rPr>
        <w:t>had no opinion regarding the pricing of even a single policy and did not make any determination that the premiums charged by Reserve or PoolRe were either overstated or understated.</w:t>
      </w:r>
    </w:p>
    <w:p w14:paraId="7249C61E" w14:textId="77777777" w:rsidR="00FC046A" w:rsidRPr="003A5F42" w:rsidRDefault="00FC046A">
      <w:pPr>
        <w:pStyle w:val="EndnoteText"/>
        <w:rPr>
          <w:rFonts w:ascii="Times New Roman" w:hAnsi="Times New Roman" w:cs="Times New Roman"/>
          <w:sz w:val="22"/>
          <w:szCs w:val="22"/>
        </w:rPr>
      </w:pPr>
    </w:p>
  </w:endnote>
  <w:endnote w:id="33">
    <w:p w14:paraId="0C51B07D" w14:textId="4318DB8E" w:rsidR="00FC046A" w:rsidRPr="008A0FB5" w:rsidRDefault="00FC046A">
      <w:pPr>
        <w:pStyle w:val="EndnoteText"/>
        <w:rPr>
          <w:rFonts w:ascii="Times New Roman" w:hAnsi="Times New Roman" w:cs="Times New Roman"/>
          <w:sz w:val="22"/>
          <w:szCs w:val="22"/>
        </w:rPr>
      </w:pPr>
      <w:r w:rsidRPr="00BF43F4">
        <w:rPr>
          <w:rStyle w:val="EndnoteReference"/>
          <w:rFonts w:ascii="Times New Roman" w:hAnsi="Times New Roman" w:cs="Times New Roman"/>
          <w:sz w:val="22"/>
          <w:szCs w:val="22"/>
        </w:rPr>
        <w:endnoteRef/>
      </w:r>
      <w:r w:rsidRPr="00BF43F4">
        <w:rPr>
          <w:rFonts w:ascii="Times New Roman" w:hAnsi="Times New Roman" w:cs="Times New Roman"/>
          <w:sz w:val="22"/>
          <w:szCs w:val="22"/>
        </w:rPr>
        <w:t xml:space="preserve"> See testimony of Bob Snyder, </w:t>
      </w:r>
      <w:r>
        <w:rPr>
          <w:rFonts w:ascii="Times New Roman" w:hAnsi="Times New Roman" w:cs="Times New Roman"/>
          <w:sz w:val="22"/>
          <w:szCs w:val="22"/>
        </w:rPr>
        <w:t>Tr.</w:t>
      </w:r>
      <w:r w:rsidRPr="00BF43F4">
        <w:rPr>
          <w:rFonts w:ascii="Times New Roman" w:hAnsi="Times New Roman" w:cs="Times New Roman"/>
          <w:sz w:val="22"/>
          <w:szCs w:val="22"/>
        </w:rPr>
        <w:t xml:space="preserve"> at 81-85 and Exhibit 97-P (Expert Report of Bob </w:t>
      </w:r>
      <w:r w:rsidRPr="008A0FB5">
        <w:rPr>
          <w:rFonts w:ascii="Times New Roman" w:hAnsi="Times New Roman" w:cs="Times New Roman"/>
          <w:sz w:val="22"/>
          <w:szCs w:val="22"/>
        </w:rPr>
        <w:t>Snyder, dated March 27, 2017).</w:t>
      </w:r>
    </w:p>
    <w:p w14:paraId="34EC700C" w14:textId="77777777" w:rsidR="00FC046A" w:rsidRPr="008A0FB5" w:rsidRDefault="00FC046A">
      <w:pPr>
        <w:pStyle w:val="EndnoteText"/>
        <w:rPr>
          <w:rFonts w:ascii="Times New Roman" w:hAnsi="Times New Roman" w:cs="Times New Roman"/>
          <w:sz w:val="22"/>
          <w:szCs w:val="22"/>
        </w:rPr>
      </w:pPr>
    </w:p>
  </w:endnote>
  <w:endnote w:id="34">
    <w:p w14:paraId="6D933E85" w14:textId="78CC8194" w:rsidR="00FC046A" w:rsidRPr="008A0FB5" w:rsidRDefault="00FC046A">
      <w:pPr>
        <w:pStyle w:val="EndnoteText"/>
        <w:rPr>
          <w:rFonts w:ascii="Times New Roman" w:hAnsi="Times New Roman" w:cs="Times New Roman"/>
          <w:sz w:val="22"/>
          <w:szCs w:val="22"/>
        </w:rPr>
      </w:pPr>
      <w:r w:rsidRPr="008A0FB5">
        <w:rPr>
          <w:rStyle w:val="EndnoteReference"/>
          <w:rFonts w:ascii="Times New Roman" w:hAnsi="Times New Roman" w:cs="Times New Roman"/>
          <w:sz w:val="22"/>
          <w:szCs w:val="22"/>
        </w:rPr>
        <w:endnoteRef/>
      </w:r>
      <w:r w:rsidRPr="008A0FB5">
        <w:rPr>
          <w:rFonts w:ascii="Times New Roman" w:hAnsi="Times New Roman" w:cs="Times New Roman"/>
          <w:sz w:val="22"/>
          <w:szCs w:val="22"/>
        </w:rPr>
        <w:t xml:space="preserve"> See testimony of Dr. Neil Doherty, </w:t>
      </w:r>
      <w:r>
        <w:rPr>
          <w:rFonts w:ascii="Times New Roman" w:hAnsi="Times New Roman" w:cs="Times New Roman"/>
          <w:sz w:val="22"/>
          <w:szCs w:val="22"/>
        </w:rPr>
        <w:t>Tr.</w:t>
      </w:r>
      <w:r w:rsidRPr="008A0FB5">
        <w:rPr>
          <w:rFonts w:ascii="Times New Roman" w:hAnsi="Times New Roman" w:cs="Times New Roman"/>
          <w:sz w:val="22"/>
          <w:szCs w:val="22"/>
        </w:rPr>
        <w:t xml:space="preserve"> at 235-236 and</w:t>
      </w:r>
      <w:r>
        <w:rPr>
          <w:rFonts w:ascii="Times New Roman" w:hAnsi="Times New Roman" w:cs="Times New Roman"/>
          <w:sz w:val="22"/>
          <w:szCs w:val="22"/>
        </w:rPr>
        <w:t xml:space="preserve"> </w:t>
      </w:r>
      <w:r w:rsidRPr="008A0FB5">
        <w:rPr>
          <w:rFonts w:ascii="Times New Roman" w:hAnsi="Times New Roman" w:cs="Times New Roman"/>
          <w:sz w:val="22"/>
          <w:szCs w:val="22"/>
        </w:rPr>
        <w:t>Exhibit 104-P (Expert Report of Dr. Neil Doherty, dated March 27, 2017)</w:t>
      </w:r>
      <w:r>
        <w:rPr>
          <w:rFonts w:ascii="Times New Roman" w:hAnsi="Times New Roman" w:cs="Times New Roman"/>
          <w:sz w:val="22"/>
          <w:szCs w:val="22"/>
        </w:rPr>
        <w:t xml:space="preserve"> at 17-18</w:t>
      </w:r>
      <w:r w:rsidRPr="008A0FB5">
        <w:rPr>
          <w:rFonts w:ascii="Times New Roman" w:hAnsi="Times New Roman" w:cs="Times New Roman"/>
          <w:sz w:val="22"/>
          <w:szCs w:val="22"/>
        </w:rPr>
        <w:t>.</w:t>
      </w:r>
    </w:p>
    <w:p w14:paraId="44D25D11" w14:textId="77777777" w:rsidR="00FC046A" w:rsidRPr="008A0FB5" w:rsidRDefault="00FC046A">
      <w:pPr>
        <w:pStyle w:val="EndnoteText"/>
        <w:rPr>
          <w:rFonts w:ascii="Times New Roman" w:hAnsi="Times New Roman" w:cs="Times New Roman"/>
          <w:sz w:val="22"/>
          <w:szCs w:val="22"/>
        </w:rPr>
      </w:pPr>
    </w:p>
  </w:endnote>
  <w:endnote w:id="35">
    <w:p w14:paraId="55492C9E" w14:textId="41AF46D7" w:rsidR="00FC046A" w:rsidRPr="00905FDC" w:rsidRDefault="00FC046A">
      <w:pPr>
        <w:pStyle w:val="EndnoteText"/>
        <w:rPr>
          <w:rFonts w:ascii="Times New Roman" w:hAnsi="Times New Roman" w:cs="Times New Roman"/>
          <w:sz w:val="22"/>
          <w:szCs w:val="22"/>
        </w:rPr>
      </w:pPr>
      <w:r w:rsidRPr="008A0FB5">
        <w:rPr>
          <w:rStyle w:val="EndnoteReference"/>
          <w:rFonts w:ascii="Times New Roman" w:hAnsi="Times New Roman" w:cs="Times New Roman"/>
          <w:sz w:val="22"/>
          <w:szCs w:val="22"/>
        </w:rPr>
        <w:endnoteRef/>
      </w:r>
      <w:r w:rsidRPr="008A0FB5">
        <w:rPr>
          <w:rFonts w:ascii="Times New Roman" w:hAnsi="Times New Roman" w:cs="Times New Roman"/>
          <w:sz w:val="22"/>
          <w:szCs w:val="22"/>
        </w:rPr>
        <w:t xml:space="preserve"> See testimony of</w:t>
      </w:r>
      <w:r>
        <w:rPr>
          <w:rFonts w:ascii="Times New Roman" w:hAnsi="Times New Roman" w:cs="Times New Roman"/>
          <w:sz w:val="22"/>
          <w:szCs w:val="22"/>
        </w:rPr>
        <w:t xml:space="preserve"> </w:t>
      </w:r>
      <w:r w:rsidRPr="00BF43F4">
        <w:rPr>
          <w:rFonts w:ascii="Times New Roman" w:hAnsi="Times New Roman" w:cs="Times New Roman"/>
          <w:sz w:val="22"/>
          <w:szCs w:val="22"/>
        </w:rPr>
        <w:t xml:space="preserve">Esperanza Mead, </w:t>
      </w:r>
      <w:r>
        <w:rPr>
          <w:rFonts w:ascii="Times New Roman" w:hAnsi="Times New Roman" w:cs="Times New Roman"/>
          <w:sz w:val="22"/>
          <w:szCs w:val="22"/>
        </w:rPr>
        <w:t>Tr.</w:t>
      </w:r>
      <w:r w:rsidRPr="00BF43F4">
        <w:rPr>
          <w:rFonts w:ascii="Times New Roman" w:hAnsi="Times New Roman" w:cs="Times New Roman"/>
          <w:sz w:val="22"/>
          <w:szCs w:val="22"/>
        </w:rPr>
        <w:t xml:space="preserve"> at 407-436, and Exhibit 113-P (Expert Actuarial Peer Review Report of Esperanza Mead dated March 10, 2017). See also testimony of</w:t>
      </w:r>
      <w:r>
        <w:rPr>
          <w:rFonts w:ascii="Times New Roman" w:hAnsi="Times New Roman" w:cs="Times New Roman"/>
          <w:sz w:val="22"/>
          <w:szCs w:val="22"/>
        </w:rPr>
        <w:t xml:space="preserve"> </w:t>
      </w:r>
      <w:r w:rsidRPr="00BF43F4">
        <w:rPr>
          <w:rFonts w:ascii="Times New Roman" w:hAnsi="Times New Roman" w:cs="Times New Roman"/>
          <w:sz w:val="22"/>
          <w:szCs w:val="22"/>
        </w:rPr>
        <w:t>Michael Solomon</w:t>
      </w:r>
      <w:r w:rsidRPr="00905FDC">
        <w:rPr>
          <w:rFonts w:ascii="Times New Roman" w:hAnsi="Times New Roman" w:cs="Times New Roman"/>
          <w:sz w:val="22"/>
          <w:szCs w:val="22"/>
        </w:rPr>
        <w:t xml:space="preserve">, </w:t>
      </w:r>
      <w:r>
        <w:rPr>
          <w:rFonts w:ascii="Times New Roman" w:hAnsi="Times New Roman" w:cs="Times New Roman"/>
          <w:sz w:val="22"/>
          <w:szCs w:val="22"/>
        </w:rPr>
        <w:t>Tr.</w:t>
      </w:r>
      <w:r w:rsidRPr="00905FDC">
        <w:rPr>
          <w:rFonts w:ascii="Times New Roman" w:hAnsi="Times New Roman" w:cs="Times New Roman"/>
          <w:sz w:val="22"/>
          <w:szCs w:val="22"/>
        </w:rPr>
        <w:t xml:space="preserve"> at 466-494, and Exhibit 117-P (Expert Actuarial Review Report of Michael Solomon dated March 27, 2017).</w:t>
      </w:r>
    </w:p>
    <w:p w14:paraId="73418243" w14:textId="77777777" w:rsidR="00FC046A" w:rsidRPr="00905FDC" w:rsidRDefault="00FC046A">
      <w:pPr>
        <w:pStyle w:val="EndnoteText"/>
        <w:rPr>
          <w:rFonts w:ascii="Times New Roman" w:hAnsi="Times New Roman" w:cs="Times New Roman"/>
          <w:sz w:val="22"/>
          <w:szCs w:val="22"/>
        </w:rPr>
      </w:pPr>
    </w:p>
  </w:endnote>
  <w:endnote w:id="36">
    <w:p w14:paraId="332F2E84" w14:textId="7C3D76E0" w:rsidR="00FC046A" w:rsidRPr="006547EE" w:rsidRDefault="00FC046A" w:rsidP="00836B48">
      <w:pPr>
        <w:pStyle w:val="EndnoteText"/>
        <w:rPr>
          <w:rFonts w:ascii="Times New Roman" w:hAnsi="Times New Roman" w:cs="Times New Roman"/>
          <w:sz w:val="22"/>
          <w:szCs w:val="22"/>
        </w:rPr>
      </w:pPr>
      <w:r w:rsidRPr="00905FDC">
        <w:rPr>
          <w:rStyle w:val="EndnoteReference"/>
          <w:rFonts w:ascii="Times New Roman" w:hAnsi="Times New Roman" w:cs="Times New Roman"/>
          <w:sz w:val="22"/>
          <w:szCs w:val="22"/>
        </w:rPr>
        <w:endnoteRef/>
      </w:r>
      <w:r w:rsidRPr="00905FDC">
        <w:rPr>
          <w:rFonts w:ascii="Times New Roman" w:hAnsi="Times New Roman" w:cs="Times New Roman"/>
          <w:sz w:val="22"/>
          <w:szCs w:val="22"/>
        </w:rPr>
        <w:t xml:space="preserve"> See testimony of Steve Kinion, </w:t>
      </w:r>
      <w:r>
        <w:rPr>
          <w:rFonts w:ascii="Times New Roman" w:hAnsi="Times New Roman" w:cs="Times New Roman"/>
          <w:sz w:val="22"/>
          <w:szCs w:val="22"/>
        </w:rPr>
        <w:t>Tr.</w:t>
      </w:r>
      <w:r w:rsidRPr="00905FDC">
        <w:rPr>
          <w:rFonts w:ascii="Times New Roman" w:hAnsi="Times New Roman" w:cs="Times New Roman"/>
          <w:sz w:val="22"/>
          <w:szCs w:val="22"/>
        </w:rPr>
        <w:t xml:space="preserve"> at 197-226</w:t>
      </w:r>
      <w:r>
        <w:rPr>
          <w:rFonts w:ascii="Times New Roman" w:hAnsi="Times New Roman" w:cs="Times New Roman"/>
          <w:sz w:val="22"/>
          <w:szCs w:val="22"/>
        </w:rPr>
        <w:t xml:space="preserve"> and </w:t>
      </w:r>
      <w:r w:rsidRPr="00905FDC">
        <w:rPr>
          <w:rFonts w:ascii="Times New Roman" w:hAnsi="Times New Roman" w:cs="Times New Roman"/>
          <w:sz w:val="22"/>
          <w:szCs w:val="22"/>
        </w:rPr>
        <w:t>Exhibit 1</w:t>
      </w:r>
      <w:r>
        <w:rPr>
          <w:rFonts w:ascii="Times New Roman" w:hAnsi="Times New Roman" w:cs="Times New Roman"/>
          <w:sz w:val="22"/>
          <w:szCs w:val="22"/>
        </w:rPr>
        <w:t>0</w:t>
      </w:r>
      <w:r w:rsidRPr="00905FDC">
        <w:rPr>
          <w:rFonts w:ascii="Times New Roman" w:hAnsi="Times New Roman" w:cs="Times New Roman"/>
          <w:sz w:val="22"/>
          <w:szCs w:val="22"/>
        </w:rPr>
        <w:t xml:space="preserve">3-P (Expert Report of </w:t>
      </w:r>
      <w:r>
        <w:rPr>
          <w:rFonts w:ascii="Times New Roman" w:hAnsi="Times New Roman" w:cs="Times New Roman"/>
          <w:sz w:val="22"/>
          <w:szCs w:val="22"/>
        </w:rPr>
        <w:t>Steve Kinion</w:t>
      </w:r>
      <w:r w:rsidRPr="00905FDC">
        <w:rPr>
          <w:rFonts w:ascii="Times New Roman" w:hAnsi="Times New Roman" w:cs="Times New Roman"/>
          <w:sz w:val="22"/>
          <w:szCs w:val="22"/>
        </w:rPr>
        <w:t xml:space="preserve"> dated March </w:t>
      </w:r>
      <w:r>
        <w:rPr>
          <w:rFonts w:ascii="Times New Roman" w:hAnsi="Times New Roman" w:cs="Times New Roman"/>
          <w:sz w:val="22"/>
          <w:szCs w:val="22"/>
        </w:rPr>
        <w:t>26</w:t>
      </w:r>
      <w:r w:rsidRPr="00905FDC">
        <w:rPr>
          <w:rFonts w:ascii="Times New Roman" w:hAnsi="Times New Roman" w:cs="Times New Roman"/>
          <w:sz w:val="22"/>
          <w:szCs w:val="22"/>
        </w:rPr>
        <w:t>, 2017).</w:t>
      </w:r>
      <w:r>
        <w:rPr>
          <w:rFonts w:ascii="Times New Roman" w:hAnsi="Times New Roman" w:cs="Times New Roman"/>
          <w:sz w:val="22"/>
          <w:szCs w:val="22"/>
        </w:rPr>
        <w:t xml:space="preserve">  Mr. Kinion, who is the head of Delaware’s </w:t>
      </w:r>
      <w:r w:rsidRPr="00836B48">
        <w:rPr>
          <w:rFonts w:ascii="Times New Roman" w:hAnsi="Times New Roman" w:cs="Times New Roman"/>
          <w:sz w:val="22"/>
          <w:szCs w:val="22"/>
        </w:rPr>
        <w:t>Bureau of Captive an</w:t>
      </w:r>
      <w:r>
        <w:rPr>
          <w:rFonts w:ascii="Times New Roman" w:hAnsi="Times New Roman" w:cs="Times New Roman"/>
          <w:sz w:val="22"/>
          <w:szCs w:val="22"/>
        </w:rPr>
        <w:t xml:space="preserve">d </w:t>
      </w:r>
      <w:r w:rsidRPr="00836B48">
        <w:rPr>
          <w:rFonts w:ascii="Times New Roman" w:hAnsi="Times New Roman" w:cs="Times New Roman"/>
          <w:sz w:val="22"/>
          <w:szCs w:val="22"/>
        </w:rPr>
        <w:t>Financial Insurance Product</w:t>
      </w:r>
      <w:r>
        <w:rPr>
          <w:rFonts w:ascii="Times New Roman" w:hAnsi="Times New Roman" w:cs="Times New Roman"/>
          <w:sz w:val="22"/>
          <w:szCs w:val="22"/>
        </w:rPr>
        <w:t xml:space="preserve">s, testified that </w:t>
      </w:r>
      <w:r w:rsidRPr="0049488C">
        <w:rPr>
          <w:rFonts w:ascii="Times New Roman" w:hAnsi="Times New Roman" w:cs="Times New Roman"/>
          <w:sz w:val="22"/>
          <w:szCs w:val="22"/>
        </w:rPr>
        <w:t xml:space="preserve">Anguilla’s regulatory structure </w:t>
      </w:r>
      <w:r>
        <w:rPr>
          <w:rFonts w:ascii="Times New Roman" w:hAnsi="Times New Roman" w:cs="Times New Roman"/>
          <w:sz w:val="22"/>
          <w:szCs w:val="22"/>
        </w:rPr>
        <w:t xml:space="preserve">for captive insurance companies </w:t>
      </w:r>
      <w:r w:rsidRPr="0049488C">
        <w:rPr>
          <w:rFonts w:ascii="Times New Roman" w:hAnsi="Times New Roman" w:cs="Times New Roman"/>
          <w:sz w:val="22"/>
          <w:szCs w:val="22"/>
        </w:rPr>
        <w:t xml:space="preserve">was similar to </w:t>
      </w:r>
      <w:r>
        <w:rPr>
          <w:rFonts w:ascii="Times New Roman" w:hAnsi="Times New Roman" w:cs="Times New Roman"/>
          <w:sz w:val="22"/>
          <w:szCs w:val="22"/>
        </w:rPr>
        <w:t>Delaware’s well recognized captive regulatory structure.</w:t>
      </w:r>
    </w:p>
    <w:p w14:paraId="34184044" w14:textId="77777777" w:rsidR="00FC046A" w:rsidRPr="006547EE" w:rsidRDefault="00FC046A">
      <w:pPr>
        <w:pStyle w:val="EndnoteText"/>
        <w:rPr>
          <w:rFonts w:ascii="Times New Roman" w:hAnsi="Times New Roman" w:cs="Times New Roman"/>
          <w:sz w:val="22"/>
          <w:szCs w:val="22"/>
        </w:rPr>
      </w:pPr>
    </w:p>
  </w:endnote>
  <w:endnote w:id="37">
    <w:p w14:paraId="21664107" w14:textId="77777777" w:rsidR="00FC046A" w:rsidRPr="006547EE" w:rsidRDefault="00FC046A">
      <w:pPr>
        <w:pStyle w:val="EndnoteText"/>
        <w:rPr>
          <w:rFonts w:ascii="Times New Roman" w:hAnsi="Times New Roman" w:cs="Times New Roman"/>
          <w:sz w:val="22"/>
          <w:szCs w:val="22"/>
        </w:rPr>
      </w:pPr>
      <w:r w:rsidRPr="006547EE">
        <w:rPr>
          <w:rStyle w:val="EndnoteReference"/>
          <w:rFonts w:ascii="Times New Roman" w:hAnsi="Times New Roman" w:cs="Times New Roman"/>
          <w:sz w:val="22"/>
          <w:szCs w:val="22"/>
        </w:rPr>
        <w:endnoteRef/>
      </w:r>
      <w:r w:rsidRPr="006547EE">
        <w:rPr>
          <w:rFonts w:ascii="Times New Roman" w:hAnsi="Times New Roman" w:cs="Times New Roman"/>
          <w:sz w:val="22"/>
          <w:szCs w:val="22"/>
        </w:rPr>
        <w:t xml:space="preserve"> </w:t>
      </w:r>
      <w:r w:rsidRPr="006547EE">
        <w:rPr>
          <w:rFonts w:ascii="Times New Roman" w:hAnsi="Times New Roman" w:cs="Times New Roman"/>
          <w:i/>
          <w:sz w:val="22"/>
          <w:szCs w:val="22"/>
        </w:rPr>
        <w:t>Id</w:t>
      </w:r>
      <w:r w:rsidRPr="006547EE">
        <w:rPr>
          <w:rFonts w:ascii="Times New Roman" w:hAnsi="Times New Roman" w:cs="Times New Roman"/>
          <w:sz w:val="22"/>
          <w:szCs w:val="22"/>
        </w:rPr>
        <w:t>.</w:t>
      </w:r>
    </w:p>
    <w:p w14:paraId="6AD97897" w14:textId="77777777" w:rsidR="00FC046A" w:rsidRPr="006675F1" w:rsidRDefault="00FC046A">
      <w:pPr>
        <w:pStyle w:val="EndnoteText"/>
        <w:rPr>
          <w:rFonts w:ascii="Times New Roman" w:hAnsi="Times New Roman" w:cs="Times New Roman"/>
          <w:sz w:val="22"/>
          <w:szCs w:val="22"/>
        </w:rPr>
      </w:pPr>
    </w:p>
  </w:endnote>
  <w:endnote w:id="38">
    <w:p w14:paraId="33F42AE6" w14:textId="0CBCC2AB" w:rsidR="00FC046A" w:rsidRPr="00C03D71" w:rsidRDefault="00FC046A">
      <w:pPr>
        <w:pStyle w:val="EndnoteText"/>
        <w:rPr>
          <w:rFonts w:ascii="Times New Roman" w:hAnsi="Times New Roman" w:cs="Times New Roman"/>
          <w:sz w:val="22"/>
          <w:szCs w:val="22"/>
        </w:rPr>
      </w:pPr>
      <w:r w:rsidRPr="00C03D71">
        <w:rPr>
          <w:rStyle w:val="EndnoteReference"/>
          <w:rFonts w:ascii="Times New Roman" w:hAnsi="Times New Roman" w:cs="Times New Roman"/>
          <w:sz w:val="22"/>
          <w:szCs w:val="22"/>
        </w:rPr>
        <w:endnoteRef/>
      </w:r>
      <w:r w:rsidRPr="00C03D71">
        <w:rPr>
          <w:rFonts w:ascii="Times New Roman" w:hAnsi="Times New Roman" w:cs="Times New Roman"/>
          <w:sz w:val="22"/>
          <w:szCs w:val="22"/>
        </w:rPr>
        <w:t xml:space="preserve"> </w:t>
      </w:r>
      <w:r w:rsidRPr="007F024B">
        <w:rPr>
          <w:rFonts w:ascii="Times New Roman" w:hAnsi="Times New Roman" w:cs="Times New Roman"/>
          <w:sz w:val="22"/>
          <w:szCs w:val="22"/>
        </w:rPr>
        <w:t xml:space="preserve">See testimony of </w:t>
      </w:r>
      <w:r>
        <w:rPr>
          <w:rFonts w:ascii="Times New Roman" w:hAnsi="Times New Roman" w:cs="Times New Roman"/>
          <w:sz w:val="22"/>
          <w:szCs w:val="22"/>
        </w:rPr>
        <w:t>David Liptz</w:t>
      </w:r>
      <w:r w:rsidRPr="007F024B">
        <w:rPr>
          <w:rFonts w:ascii="Times New Roman" w:hAnsi="Times New Roman" w:cs="Times New Roman"/>
          <w:sz w:val="22"/>
          <w:szCs w:val="22"/>
        </w:rPr>
        <w:t xml:space="preserve">, </w:t>
      </w:r>
      <w:r>
        <w:rPr>
          <w:rFonts w:ascii="Times New Roman" w:hAnsi="Times New Roman" w:cs="Times New Roman"/>
          <w:sz w:val="22"/>
          <w:szCs w:val="22"/>
        </w:rPr>
        <w:t>CPA, at Tr.</w:t>
      </w:r>
      <w:r w:rsidRPr="007F024B">
        <w:rPr>
          <w:rFonts w:ascii="Times New Roman" w:hAnsi="Times New Roman" w:cs="Times New Roman"/>
          <w:sz w:val="22"/>
          <w:szCs w:val="22"/>
        </w:rPr>
        <w:t xml:space="preserve"> at </w:t>
      </w:r>
      <w:r>
        <w:rPr>
          <w:rFonts w:ascii="Times New Roman" w:hAnsi="Times New Roman" w:cs="Times New Roman"/>
          <w:sz w:val="22"/>
          <w:szCs w:val="22"/>
        </w:rPr>
        <w:t>569-573</w:t>
      </w:r>
      <w:r w:rsidRPr="007F024B">
        <w:rPr>
          <w:rFonts w:ascii="Times New Roman" w:hAnsi="Times New Roman" w:cs="Times New Roman"/>
          <w:sz w:val="22"/>
          <w:szCs w:val="22"/>
        </w:rPr>
        <w:t xml:space="preserve">.  </w:t>
      </w:r>
    </w:p>
    <w:p w14:paraId="391E7EB7" w14:textId="77777777" w:rsidR="00FC046A" w:rsidRPr="00C03D71" w:rsidRDefault="00FC046A">
      <w:pPr>
        <w:pStyle w:val="EndnoteText"/>
        <w:rPr>
          <w:rFonts w:ascii="Times New Roman" w:hAnsi="Times New Roman" w:cs="Times New Roman"/>
          <w:sz w:val="22"/>
          <w:szCs w:val="22"/>
        </w:rPr>
      </w:pPr>
    </w:p>
  </w:endnote>
  <w:endnote w:id="39">
    <w:p w14:paraId="61EFFF0E" w14:textId="4084BF83" w:rsidR="00FC046A" w:rsidRPr="006547EE" w:rsidRDefault="00FC046A" w:rsidP="00364083">
      <w:pPr>
        <w:autoSpaceDE w:val="0"/>
        <w:autoSpaceDN w:val="0"/>
        <w:adjustRightInd w:val="0"/>
        <w:spacing w:after="0" w:line="240" w:lineRule="auto"/>
        <w:jc w:val="both"/>
        <w:rPr>
          <w:rFonts w:ascii="Times New Roman" w:hAnsi="Times New Roman" w:cs="Times New Roman"/>
        </w:rPr>
      </w:pPr>
      <w:r w:rsidRPr="006547EE">
        <w:rPr>
          <w:rStyle w:val="EndnoteReference"/>
          <w:rFonts w:ascii="Times New Roman" w:hAnsi="Times New Roman" w:cs="Times New Roman"/>
        </w:rPr>
        <w:endnoteRef/>
      </w:r>
      <w:r w:rsidRPr="006547EE">
        <w:rPr>
          <w:rFonts w:ascii="Times New Roman" w:hAnsi="Times New Roman" w:cs="Times New Roman"/>
        </w:rPr>
        <w:t xml:space="preserve"> Opinion at 6, 16-20.</w:t>
      </w:r>
    </w:p>
    <w:p w14:paraId="4F18AE5A" w14:textId="77777777" w:rsidR="00FC046A" w:rsidRPr="00905FDC" w:rsidRDefault="00FC046A" w:rsidP="00364083">
      <w:pPr>
        <w:pStyle w:val="EndnoteText"/>
        <w:jc w:val="both"/>
        <w:rPr>
          <w:rFonts w:ascii="Times New Roman" w:hAnsi="Times New Roman" w:cs="Times New Roman"/>
          <w:sz w:val="22"/>
          <w:szCs w:val="22"/>
        </w:rPr>
      </w:pPr>
    </w:p>
  </w:endnote>
  <w:endnote w:id="40">
    <w:p w14:paraId="56458906" w14:textId="58C6AEB8" w:rsidR="00FC046A" w:rsidRDefault="00FC046A" w:rsidP="00E642E6">
      <w:pPr>
        <w:pStyle w:val="EndnoteText"/>
        <w:rPr>
          <w:rFonts w:ascii="Times New Roman" w:hAnsi="Times New Roman" w:cs="Times New Roman"/>
          <w:sz w:val="22"/>
          <w:szCs w:val="22"/>
        </w:rPr>
      </w:pPr>
      <w:r w:rsidRPr="00FC6CFE">
        <w:rPr>
          <w:rStyle w:val="EndnoteReference"/>
          <w:rFonts w:ascii="Times New Roman" w:hAnsi="Times New Roman" w:cs="Times New Roman"/>
          <w:sz w:val="22"/>
          <w:szCs w:val="22"/>
        </w:rPr>
        <w:endnoteRef/>
      </w:r>
      <w:r w:rsidRPr="00FC6CFE">
        <w:rPr>
          <w:rFonts w:ascii="Times New Roman" w:hAnsi="Times New Roman" w:cs="Times New Roman"/>
          <w:sz w:val="22"/>
          <w:szCs w:val="22"/>
        </w:rPr>
        <w:t xml:space="preserve"> See Exhibit 136-R (Opening Expert Report of Donald J. Riggin, dated March 27, 2017) </w:t>
      </w:r>
      <w:r>
        <w:rPr>
          <w:rFonts w:ascii="Times New Roman" w:hAnsi="Times New Roman" w:cs="Times New Roman"/>
          <w:sz w:val="22"/>
          <w:szCs w:val="22"/>
        </w:rPr>
        <w:t xml:space="preserve">at 7-10.  Mr. Rigging’s expert report alleged that there were only “two </w:t>
      </w:r>
      <w:r w:rsidRPr="00257870">
        <w:rPr>
          <w:rFonts w:ascii="Times New Roman" w:hAnsi="Times New Roman" w:cs="Times New Roman"/>
          <w:sz w:val="22"/>
          <w:szCs w:val="22"/>
        </w:rPr>
        <w:t>quantitative, mathematically based methodologies available to</w:t>
      </w:r>
      <w:r>
        <w:rPr>
          <w:rFonts w:ascii="Times New Roman" w:hAnsi="Times New Roman" w:cs="Times New Roman"/>
          <w:sz w:val="22"/>
          <w:szCs w:val="22"/>
        </w:rPr>
        <w:t xml:space="preserve"> </w:t>
      </w:r>
      <w:r w:rsidRPr="00257870">
        <w:rPr>
          <w:rFonts w:ascii="Times New Roman" w:hAnsi="Times New Roman" w:cs="Times New Roman"/>
          <w:sz w:val="22"/>
          <w:szCs w:val="22"/>
        </w:rPr>
        <w:t>commercial lines underwriters to rate insurance risk: (1) the Commercial Lines Manual (CLM),</w:t>
      </w:r>
      <w:r>
        <w:rPr>
          <w:rFonts w:ascii="Times New Roman" w:hAnsi="Times New Roman" w:cs="Times New Roman"/>
          <w:sz w:val="22"/>
          <w:szCs w:val="22"/>
        </w:rPr>
        <w:t xml:space="preserve"> </w:t>
      </w:r>
      <w:r w:rsidRPr="00257870">
        <w:rPr>
          <w:rFonts w:ascii="Times New Roman" w:hAnsi="Times New Roman" w:cs="Times New Roman"/>
          <w:sz w:val="22"/>
          <w:szCs w:val="22"/>
        </w:rPr>
        <w:t>and (2) actuarial forecasting.</w:t>
      </w:r>
      <w:r>
        <w:rPr>
          <w:rFonts w:ascii="Times New Roman" w:hAnsi="Times New Roman" w:cs="Times New Roman"/>
          <w:sz w:val="22"/>
          <w:szCs w:val="22"/>
        </w:rPr>
        <w:t>”  Mr. Riggin further alleged in his expert report that “</w:t>
      </w:r>
      <w:r w:rsidRPr="00735C70">
        <w:rPr>
          <w:rFonts w:ascii="Times New Roman" w:hAnsi="Times New Roman" w:cs="Times New Roman"/>
          <w:sz w:val="22"/>
          <w:szCs w:val="22"/>
        </w:rPr>
        <w:t>The lack of any loss history</w:t>
      </w:r>
      <w:r>
        <w:rPr>
          <w:rFonts w:ascii="Times New Roman" w:hAnsi="Times New Roman" w:cs="Times New Roman"/>
          <w:sz w:val="22"/>
          <w:szCs w:val="22"/>
        </w:rPr>
        <w:t xml:space="preserve"> </w:t>
      </w:r>
      <w:r w:rsidRPr="007E2608">
        <w:rPr>
          <w:rFonts w:ascii="Times New Roman" w:hAnsi="Times New Roman" w:cs="Times New Roman"/>
          <w:sz w:val="22"/>
          <w:szCs w:val="22"/>
        </w:rPr>
        <w:t xml:space="preserve">severely hampers Capstone’s ability to determine premiums, regardless of the amount of professional oversight.”  On cross-examination, Mr. Riggin reluctantly admitted that premiums could be </w:t>
      </w:r>
      <w:r>
        <w:rPr>
          <w:rFonts w:ascii="Times New Roman" w:hAnsi="Times New Roman" w:cs="Times New Roman"/>
          <w:sz w:val="22"/>
          <w:szCs w:val="22"/>
        </w:rPr>
        <w:t xml:space="preserve">determined </w:t>
      </w:r>
      <w:r w:rsidRPr="007E2608">
        <w:rPr>
          <w:rFonts w:ascii="Times New Roman" w:hAnsi="Times New Roman" w:cs="Times New Roman"/>
          <w:sz w:val="22"/>
          <w:szCs w:val="22"/>
        </w:rPr>
        <w:t>without a history of loss data</w:t>
      </w:r>
      <w:r>
        <w:rPr>
          <w:rFonts w:ascii="Times New Roman" w:hAnsi="Times New Roman" w:cs="Times New Roman"/>
          <w:sz w:val="22"/>
          <w:szCs w:val="22"/>
        </w:rPr>
        <w:t xml:space="preserve">, consistent with an article that Mr. Riggin himself had published, which he failed to reference in his expert report </w:t>
      </w:r>
      <w:r w:rsidRPr="00283269">
        <w:rPr>
          <w:rFonts w:ascii="Times New Roman" w:hAnsi="Times New Roman" w:cs="Times New Roman"/>
          <w:sz w:val="22"/>
          <w:szCs w:val="22"/>
        </w:rPr>
        <w:t xml:space="preserve">in violation of </w:t>
      </w:r>
      <w:r>
        <w:rPr>
          <w:rFonts w:ascii="Times New Roman" w:hAnsi="Times New Roman" w:cs="Times New Roman"/>
          <w:sz w:val="22"/>
          <w:szCs w:val="22"/>
        </w:rPr>
        <w:t>T.C. Rule 143(g)</w:t>
      </w:r>
      <w:r w:rsidRPr="007E2608">
        <w:rPr>
          <w:rFonts w:ascii="Times New Roman" w:hAnsi="Times New Roman" w:cs="Times New Roman"/>
          <w:sz w:val="22"/>
          <w:szCs w:val="22"/>
        </w:rPr>
        <w:t xml:space="preserve">.  See testimony of Donald J. Riggin, </w:t>
      </w:r>
      <w:r>
        <w:rPr>
          <w:rFonts w:ascii="Times New Roman" w:hAnsi="Times New Roman" w:cs="Times New Roman"/>
          <w:sz w:val="22"/>
          <w:szCs w:val="22"/>
        </w:rPr>
        <w:t>Tr.</w:t>
      </w:r>
      <w:r w:rsidRPr="007E2608">
        <w:rPr>
          <w:rFonts w:ascii="Times New Roman" w:hAnsi="Times New Roman" w:cs="Times New Roman"/>
          <w:sz w:val="22"/>
          <w:szCs w:val="22"/>
        </w:rPr>
        <w:t xml:space="preserve"> at 90</w:t>
      </w:r>
      <w:r>
        <w:rPr>
          <w:rFonts w:ascii="Times New Roman" w:hAnsi="Times New Roman" w:cs="Times New Roman"/>
          <w:sz w:val="22"/>
          <w:szCs w:val="22"/>
        </w:rPr>
        <w:t>5</w:t>
      </w:r>
      <w:r w:rsidRPr="007E2608">
        <w:rPr>
          <w:rFonts w:ascii="Times New Roman" w:hAnsi="Times New Roman" w:cs="Times New Roman"/>
          <w:sz w:val="22"/>
          <w:szCs w:val="22"/>
        </w:rPr>
        <w:t>-911.</w:t>
      </w:r>
      <w:r>
        <w:rPr>
          <w:rFonts w:ascii="Times New Roman" w:hAnsi="Times New Roman" w:cs="Times New Roman"/>
          <w:sz w:val="22"/>
          <w:szCs w:val="22"/>
        </w:rPr>
        <w:t xml:space="preserve">  </w:t>
      </w:r>
      <w:r w:rsidRPr="00907053">
        <w:rPr>
          <w:rFonts w:ascii="Times New Roman" w:hAnsi="Times New Roman" w:cs="Times New Roman"/>
          <w:sz w:val="22"/>
          <w:szCs w:val="22"/>
        </w:rPr>
        <w:t xml:space="preserve">Mr. Riggin </w:t>
      </w:r>
      <w:r>
        <w:rPr>
          <w:rFonts w:ascii="Times New Roman" w:hAnsi="Times New Roman" w:cs="Times New Roman"/>
          <w:sz w:val="22"/>
          <w:szCs w:val="22"/>
        </w:rPr>
        <w:t xml:space="preserve">also </w:t>
      </w:r>
      <w:r w:rsidRPr="00907053">
        <w:rPr>
          <w:rFonts w:ascii="Times New Roman" w:hAnsi="Times New Roman" w:cs="Times New Roman"/>
          <w:sz w:val="22"/>
          <w:szCs w:val="22"/>
        </w:rPr>
        <w:t xml:space="preserve">admitted </w:t>
      </w:r>
      <w:r>
        <w:rPr>
          <w:rFonts w:ascii="Times New Roman" w:hAnsi="Times New Roman" w:cs="Times New Roman"/>
          <w:sz w:val="22"/>
          <w:szCs w:val="22"/>
        </w:rPr>
        <w:t xml:space="preserve">on cross-examination </w:t>
      </w:r>
      <w:r w:rsidRPr="00907053">
        <w:rPr>
          <w:rFonts w:ascii="Times New Roman" w:hAnsi="Times New Roman" w:cs="Times New Roman"/>
          <w:sz w:val="22"/>
          <w:szCs w:val="22"/>
        </w:rPr>
        <w:t>that he had not even reviewed the CLM</w:t>
      </w:r>
      <w:r>
        <w:rPr>
          <w:rFonts w:ascii="Times New Roman" w:hAnsi="Times New Roman" w:cs="Times New Roman"/>
          <w:sz w:val="22"/>
          <w:szCs w:val="22"/>
        </w:rPr>
        <w:t xml:space="preserve"> in “about a year” and that he did not check the CLM to determine whether the types of policies issued by Reserve could even be rated using the CLM, which only addressed specific coverage.  </w:t>
      </w:r>
      <w:r w:rsidRPr="00561270">
        <w:rPr>
          <w:rFonts w:ascii="Times New Roman" w:hAnsi="Times New Roman" w:cs="Times New Roman"/>
          <w:sz w:val="22"/>
          <w:szCs w:val="22"/>
        </w:rPr>
        <w:t xml:space="preserve">See testimony of Donald J. Riggin, </w:t>
      </w:r>
      <w:r>
        <w:rPr>
          <w:rFonts w:ascii="Times New Roman" w:hAnsi="Times New Roman" w:cs="Times New Roman"/>
          <w:sz w:val="22"/>
          <w:szCs w:val="22"/>
        </w:rPr>
        <w:t>Tr.</w:t>
      </w:r>
      <w:r w:rsidRPr="00561270">
        <w:rPr>
          <w:rFonts w:ascii="Times New Roman" w:hAnsi="Times New Roman" w:cs="Times New Roman"/>
          <w:sz w:val="22"/>
          <w:szCs w:val="22"/>
        </w:rPr>
        <w:t xml:space="preserve"> at </w:t>
      </w:r>
      <w:r w:rsidRPr="00C03D71">
        <w:rPr>
          <w:rFonts w:ascii="Times New Roman" w:hAnsi="Times New Roman" w:cs="Times New Roman"/>
          <w:sz w:val="22"/>
          <w:szCs w:val="22"/>
        </w:rPr>
        <w:t>889</w:t>
      </w:r>
      <w:r w:rsidRPr="00484541">
        <w:rPr>
          <w:rFonts w:ascii="Times New Roman" w:hAnsi="Times New Roman" w:cs="Times New Roman"/>
          <w:sz w:val="22"/>
          <w:szCs w:val="22"/>
        </w:rPr>
        <w:t>-</w:t>
      </w:r>
      <w:r w:rsidRPr="00C03D71">
        <w:rPr>
          <w:rFonts w:ascii="Times New Roman" w:hAnsi="Times New Roman" w:cs="Times New Roman"/>
          <w:sz w:val="22"/>
          <w:szCs w:val="22"/>
        </w:rPr>
        <w:t>89</w:t>
      </w:r>
      <w:r>
        <w:rPr>
          <w:rFonts w:ascii="Times New Roman" w:hAnsi="Times New Roman" w:cs="Times New Roman"/>
          <w:sz w:val="22"/>
          <w:szCs w:val="22"/>
        </w:rPr>
        <w:t>1</w:t>
      </w:r>
      <w:r w:rsidRPr="00561270">
        <w:rPr>
          <w:rFonts w:ascii="Times New Roman" w:hAnsi="Times New Roman" w:cs="Times New Roman"/>
          <w:sz w:val="22"/>
          <w:szCs w:val="22"/>
        </w:rPr>
        <w:t>.</w:t>
      </w:r>
    </w:p>
    <w:p w14:paraId="44A693B4" w14:textId="77777777" w:rsidR="00FC046A" w:rsidRDefault="00FC046A" w:rsidP="00E642E6">
      <w:pPr>
        <w:pStyle w:val="EndnoteText"/>
        <w:rPr>
          <w:rFonts w:ascii="Times New Roman" w:hAnsi="Times New Roman" w:cs="Times New Roman"/>
          <w:sz w:val="22"/>
          <w:szCs w:val="22"/>
        </w:rPr>
      </w:pPr>
    </w:p>
    <w:p w14:paraId="457D4924" w14:textId="0895415D" w:rsidR="00FC046A" w:rsidRPr="00FC6CFE" w:rsidRDefault="00FC046A" w:rsidP="00E642E6">
      <w:pPr>
        <w:pStyle w:val="EndnoteText"/>
        <w:rPr>
          <w:rFonts w:ascii="Times New Roman" w:hAnsi="Times New Roman" w:cs="Times New Roman"/>
          <w:sz w:val="22"/>
          <w:szCs w:val="22"/>
        </w:rPr>
      </w:pPr>
      <w:r>
        <w:rPr>
          <w:rFonts w:ascii="Times New Roman" w:hAnsi="Times New Roman" w:cs="Times New Roman"/>
          <w:sz w:val="22"/>
          <w:szCs w:val="22"/>
        </w:rPr>
        <w:t xml:space="preserve">Further, in his rebuttal expert report to Mr. Riggin’s expert report, Dr. Doherty refuted Mr. Riggin’s claim that a loss history was necessary for Capstone to be able to determine premiums.  Dr. Doherty stated that Reserve’s policies insured “unusual and new risks” that “typically are </w:t>
      </w:r>
      <w:r w:rsidRPr="00331D80">
        <w:rPr>
          <w:rFonts w:ascii="Times New Roman" w:hAnsi="Times New Roman" w:cs="Times New Roman"/>
          <w:sz w:val="22"/>
          <w:szCs w:val="22"/>
        </w:rPr>
        <w:t>not supported by a long and large loss history</w:t>
      </w:r>
      <w:r>
        <w:rPr>
          <w:rFonts w:ascii="Times New Roman" w:hAnsi="Times New Roman" w:cs="Times New Roman"/>
          <w:sz w:val="22"/>
          <w:szCs w:val="22"/>
        </w:rPr>
        <w:t xml:space="preserve">” and characterized Reserve’s rate setting process </w:t>
      </w:r>
      <w:r w:rsidRPr="00B146C3">
        <w:rPr>
          <w:rFonts w:ascii="Times New Roman" w:hAnsi="Times New Roman" w:cs="Times New Roman"/>
          <w:sz w:val="22"/>
          <w:szCs w:val="22"/>
        </w:rPr>
        <w:t>as</w:t>
      </w:r>
      <w:r>
        <w:rPr>
          <w:rFonts w:ascii="Times New Roman" w:hAnsi="Times New Roman" w:cs="Times New Roman"/>
          <w:sz w:val="22"/>
          <w:szCs w:val="22"/>
        </w:rPr>
        <w:t xml:space="preserve"> “</w:t>
      </w:r>
      <w:r w:rsidRPr="00B146C3">
        <w:rPr>
          <w:rFonts w:ascii="Times New Roman" w:hAnsi="Times New Roman" w:cs="Times New Roman"/>
          <w:sz w:val="22"/>
          <w:szCs w:val="22"/>
        </w:rPr>
        <w:t>one of expert opinion, which draws</w:t>
      </w:r>
      <w:r>
        <w:rPr>
          <w:rFonts w:ascii="Times New Roman" w:hAnsi="Times New Roman" w:cs="Times New Roman"/>
          <w:sz w:val="22"/>
          <w:szCs w:val="22"/>
        </w:rPr>
        <w:t xml:space="preserve"> </w:t>
      </w:r>
      <w:r w:rsidRPr="00B146C3">
        <w:rPr>
          <w:rFonts w:ascii="Times New Roman" w:hAnsi="Times New Roman" w:cs="Times New Roman"/>
          <w:sz w:val="22"/>
          <w:szCs w:val="22"/>
        </w:rPr>
        <w:t>on extensive market experience of rates for a variety of risks, market conditions,</w:t>
      </w:r>
      <w:r>
        <w:rPr>
          <w:rFonts w:ascii="Times New Roman" w:hAnsi="Times New Roman" w:cs="Times New Roman"/>
          <w:sz w:val="22"/>
          <w:szCs w:val="22"/>
        </w:rPr>
        <w:t xml:space="preserve"> </w:t>
      </w:r>
      <w:r w:rsidRPr="00B146C3">
        <w:rPr>
          <w:rFonts w:ascii="Times New Roman" w:hAnsi="Times New Roman" w:cs="Times New Roman"/>
          <w:sz w:val="22"/>
          <w:szCs w:val="22"/>
        </w:rPr>
        <w:t>prevailing rates for somewhat comparable risks (both within and outside the</w:t>
      </w:r>
      <w:r>
        <w:rPr>
          <w:rFonts w:ascii="Times New Roman" w:hAnsi="Times New Roman" w:cs="Times New Roman"/>
          <w:sz w:val="22"/>
          <w:szCs w:val="22"/>
        </w:rPr>
        <w:t xml:space="preserve"> </w:t>
      </w:r>
      <w:r w:rsidRPr="00B146C3">
        <w:rPr>
          <w:rFonts w:ascii="Times New Roman" w:hAnsi="Times New Roman" w:cs="Times New Roman"/>
          <w:sz w:val="22"/>
          <w:szCs w:val="22"/>
        </w:rPr>
        <w:t>Capstone</w:t>
      </w:r>
      <w:r>
        <w:rPr>
          <w:rFonts w:ascii="Times New Roman" w:hAnsi="Times New Roman" w:cs="Times New Roman"/>
          <w:sz w:val="22"/>
          <w:szCs w:val="22"/>
        </w:rPr>
        <w:t xml:space="preserve"> </w:t>
      </w:r>
      <w:r w:rsidRPr="00B146C3">
        <w:rPr>
          <w:rFonts w:ascii="Times New Roman" w:hAnsi="Times New Roman" w:cs="Times New Roman"/>
          <w:sz w:val="22"/>
          <w:szCs w:val="22"/>
        </w:rPr>
        <w:t>program), third party review, and, to the extent possible, historical</w:t>
      </w:r>
      <w:r>
        <w:rPr>
          <w:rFonts w:ascii="Times New Roman" w:hAnsi="Times New Roman" w:cs="Times New Roman"/>
          <w:sz w:val="22"/>
          <w:szCs w:val="22"/>
        </w:rPr>
        <w:t xml:space="preserve"> </w:t>
      </w:r>
      <w:r w:rsidRPr="00B146C3">
        <w:rPr>
          <w:rFonts w:ascii="Times New Roman" w:hAnsi="Times New Roman" w:cs="Times New Roman"/>
          <w:sz w:val="22"/>
          <w:szCs w:val="22"/>
        </w:rPr>
        <w:t>data.</w:t>
      </w:r>
      <w:r>
        <w:rPr>
          <w:rFonts w:ascii="Times New Roman" w:hAnsi="Times New Roman" w:cs="Times New Roman"/>
          <w:sz w:val="22"/>
          <w:szCs w:val="22"/>
        </w:rPr>
        <w:t>”  Dr. Doherty further noted that “</w:t>
      </w:r>
      <w:r w:rsidRPr="00271567">
        <w:rPr>
          <w:rFonts w:ascii="Times New Roman" w:hAnsi="Times New Roman" w:cs="Times New Roman"/>
          <w:sz w:val="22"/>
          <w:szCs w:val="22"/>
        </w:rPr>
        <w:t>actuarial input is not too far removed from these expert opinion rates</w:t>
      </w:r>
      <w:r>
        <w:rPr>
          <w:rFonts w:ascii="Times New Roman" w:hAnsi="Times New Roman" w:cs="Times New Roman"/>
          <w:sz w:val="22"/>
          <w:szCs w:val="22"/>
        </w:rPr>
        <w:t>” and that “b</w:t>
      </w:r>
      <w:r w:rsidRPr="00271567">
        <w:rPr>
          <w:rFonts w:ascii="Times New Roman" w:hAnsi="Times New Roman" w:cs="Times New Roman"/>
          <w:sz w:val="22"/>
          <w:szCs w:val="22"/>
        </w:rPr>
        <w:t>ecause such expert opinion rates draw closely on market rates for comparable risks, and</w:t>
      </w:r>
      <w:r>
        <w:rPr>
          <w:rFonts w:ascii="Times New Roman" w:hAnsi="Times New Roman" w:cs="Times New Roman"/>
          <w:sz w:val="22"/>
          <w:szCs w:val="22"/>
        </w:rPr>
        <w:t xml:space="preserve"> </w:t>
      </w:r>
      <w:r w:rsidRPr="00271567">
        <w:rPr>
          <w:rFonts w:ascii="Times New Roman" w:hAnsi="Times New Roman" w:cs="Times New Roman"/>
          <w:sz w:val="22"/>
          <w:szCs w:val="22"/>
        </w:rPr>
        <w:t>these market rates usually draw on actuarial input, this is a form of bootstrapping on actuarial</w:t>
      </w:r>
      <w:r>
        <w:rPr>
          <w:rFonts w:ascii="Times New Roman" w:hAnsi="Times New Roman" w:cs="Times New Roman"/>
          <w:sz w:val="22"/>
          <w:szCs w:val="22"/>
        </w:rPr>
        <w:t xml:space="preserve"> </w:t>
      </w:r>
      <w:r w:rsidRPr="00271567">
        <w:rPr>
          <w:rFonts w:ascii="Times New Roman" w:hAnsi="Times New Roman" w:cs="Times New Roman"/>
          <w:sz w:val="22"/>
          <w:szCs w:val="22"/>
        </w:rPr>
        <w:t>methods and data</w:t>
      </w:r>
      <w:r>
        <w:rPr>
          <w:rFonts w:ascii="Times New Roman" w:hAnsi="Times New Roman" w:cs="Times New Roman"/>
          <w:sz w:val="22"/>
          <w:szCs w:val="22"/>
        </w:rPr>
        <w:t xml:space="preserve">.”  See Exhibit 107-P (Rebuttal of Expert Report of Mr. Donald J. Riggin, dated April 5, 2017), at 6.  Reserve set its premiums based upon both actuarial input and the experience of the professional underwriters as well as  market pricing quotes. </w:t>
      </w:r>
      <w:r w:rsidRPr="00612B23">
        <w:rPr>
          <w:rFonts w:ascii="Times New Roman" w:hAnsi="Times New Roman" w:cs="Times New Roman"/>
          <w:sz w:val="22"/>
          <w:szCs w:val="22"/>
        </w:rPr>
        <w:t xml:space="preserve">See testimony of Lance McNeel, </w:t>
      </w:r>
      <w:r>
        <w:rPr>
          <w:rFonts w:ascii="Times New Roman" w:hAnsi="Times New Roman" w:cs="Times New Roman"/>
          <w:sz w:val="22"/>
          <w:szCs w:val="22"/>
        </w:rPr>
        <w:t>Tr.</w:t>
      </w:r>
      <w:r w:rsidRPr="00612B23">
        <w:rPr>
          <w:rFonts w:ascii="Times New Roman" w:hAnsi="Times New Roman" w:cs="Times New Roman"/>
          <w:sz w:val="22"/>
          <w:szCs w:val="22"/>
        </w:rPr>
        <w:t xml:space="preserve"> at 323-361</w:t>
      </w:r>
      <w:r>
        <w:rPr>
          <w:rFonts w:ascii="Times New Roman" w:hAnsi="Times New Roman" w:cs="Times New Roman"/>
          <w:sz w:val="22"/>
          <w:szCs w:val="22"/>
        </w:rPr>
        <w:t xml:space="preserve">.  See also testimony of </w:t>
      </w:r>
      <w:r w:rsidRPr="007F3038">
        <w:rPr>
          <w:rFonts w:ascii="Times New Roman" w:hAnsi="Times New Roman" w:cs="Times New Roman"/>
          <w:sz w:val="22"/>
          <w:szCs w:val="22"/>
        </w:rPr>
        <w:t xml:space="preserve">Dr. Neil Doherty, </w:t>
      </w:r>
      <w:r>
        <w:rPr>
          <w:rFonts w:ascii="Times New Roman" w:hAnsi="Times New Roman" w:cs="Times New Roman"/>
          <w:sz w:val="22"/>
          <w:szCs w:val="22"/>
        </w:rPr>
        <w:t>Tr.</w:t>
      </w:r>
      <w:r w:rsidRPr="007F3038">
        <w:rPr>
          <w:rFonts w:ascii="Times New Roman" w:hAnsi="Times New Roman" w:cs="Times New Roman"/>
          <w:sz w:val="22"/>
          <w:szCs w:val="22"/>
        </w:rPr>
        <w:t xml:space="preserve"> at </w:t>
      </w:r>
      <w:r>
        <w:rPr>
          <w:rFonts w:ascii="Times New Roman" w:hAnsi="Times New Roman" w:cs="Times New Roman"/>
          <w:sz w:val="22"/>
          <w:szCs w:val="22"/>
        </w:rPr>
        <w:t>295, where Dr. Doherty confirmed that actuarial data was used to compute Reserve’s premiums.</w:t>
      </w:r>
    </w:p>
    <w:p w14:paraId="726BC15E" w14:textId="77777777" w:rsidR="00FC046A" w:rsidRPr="00FC6CFE" w:rsidRDefault="00FC046A" w:rsidP="00E642E6">
      <w:pPr>
        <w:pStyle w:val="EndnoteText"/>
        <w:rPr>
          <w:rFonts w:ascii="Times New Roman" w:hAnsi="Times New Roman" w:cs="Times New Roman"/>
          <w:sz w:val="22"/>
          <w:szCs w:val="22"/>
        </w:rPr>
      </w:pPr>
    </w:p>
  </w:endnote>
  <w:endnote w:id="41">
    <w:p w14:paraId="2AE62471" w14:textId="396050AB" w:rsidR="00FC046A" w:rsidRDefault="00FC046A" w:rsidP="00E642E6">
      <w:pPr>
        <w:pStyle w:val="EndnoteText"/>
        <w:rPr>
          <w:rFonts w:ascii="Times New Roman" w:hAnsi="Times New Roman" w:cs="Times New Roman"/>
          <w:sz w:val="22"/>
          <w:szCs w:val="22"/>
        </w:rPr>
      </w:pPr>
      <w:r w:rsidRPr="00FC6CFE">
        <w:rPr>
          <w:rStyle w:val="EndnoteReference"/>
          <w:rFonts w:ascii="Times New Roman" w:hAnsi="Times New Roman" w:cs="Times New Roman"/>
          <w:sz w:val="22"/>
          <w:szCs w:val="22"/>
        </w:rPr>
        <w:endnoteRef/>
      </w:r>
      <w:r w:rsidRPr="00FC6CFE">
        <w:rPr>
          <w:rFonts w:ascii="Times New Roman" w:hAnsi="Times New Roman" w:cs="Times New Roman"/>
          <w:sz w:val="22"/>
          <w:szCs w:val="22"/>
        </w:rPr>
        <w:t xml:space="preserve"> See Appendix E of</w:t>
      </w:r>
      <w:r>
        <w:rPr>
          <w:rFonts w:ascii="Times New Roman" w:hAnsi="Times New Roman" w:cs="Times New Roman"/>
          <w:sz w:val="22"/>
          <w:szCs w:val="22"/>
        </w:rPr>
        <w:t xml:space="preserve"> </w:t>
      </w:r>
      <w:r w:rsidRPr="00661ABE">
        <w:rPr>
          <w:rFonts w:ascii="Times New Roman" w:hAnsi="Times New Roman" w:cs="Times New Roman"/>
          <w:sz w:val="22"/>
          <w:szCs w:val="22"/>
        </w:rPr>
        <w:t>Exhibit 136-R (Opening Expert Report of Donald J. Riggin, dated March 27, 2017)</w:t>
      </w:r>
      <w:r>
        <w:rPr>
          <w:rFonts w:ascii="Times New Roman" w:hAnsi="Times New Roman" w:cs="Times New Roman"/>
          <w:sz w:val="22"/>
          <w:szCs w:val="22"/>
        </w:rPr>
        <w:t>.  See also Opinion at 61 where the Court found that the premiums for Reserve’s policies were calculated “</w:t>
      </w:r>
      <w:r w:rsidRPr="00D86C65">
        <w:rPr>
          <w:rFonts w:ascii="Times New Roman" w:hAnsi="Times New Roman" w:cs="Times New Roman"/>
          <w:sz w:val="22"/>
          <w:szCs w:val="22"/>
        </w:rPr>
        <w:t>using objective criteria and what appear to be actuarial methods</w:t>
      </w:r>
      <w:r>
        <w:rPr>
          <w:rFonts w:ascii="Times New Roman" w:hAnsi="Times New Roman" w:cs="Times New Roman"/>
          <w:sz w:val="22"/>
          <w:szCs w:val="22"/>
        </w:rPr>
        <w:t xml:space="preserve">.”  </w:t>
      </w:r>
      <w:r w:rsidRPr="00BA7C70">
        <w:rPr>
          <w:rFonts w:ascii="Times New Roman" w:hAnsi="Times New Roman" w:cs="Times New Roman"/>
          <w:sz w:val="22"/>
          <w:szCs w:val="22"/>
        </w:rPr>
        <w:t xml:space="preserve">The only </w:t>
      </w:r>
      <w:r>
        <w:rPr>
          <w:rFonts w:ascii="Times New Roman" w:hAnsi="Times New Roman" w:cs="Times New Roman"/>
          <w:sz w:val="22"/>
          <w:szCs w:val="22"/>
        </w:rPr>
        <w:t xml:space="preserve">3 </w:t>
      </w:r>
      <w:r w:rsidRPr="00BA7C70">
        <w:rPr>
          <w:rFonts w:ascii="Times New Roman" w:hAnsi="Times New Roman" w:cs="Times New Roman"/>
          <w:sz w:val="22"/>
          <w:szCs w:val="22"/>
        </w:rPr>
        <w:t xml:space="preserve">policies underwritten by Reserve that Mr. Riggin </w:t>
      </w:r>
      <w:r>
        <w:rPr>
          <w:rFonts w:ascii="Times New Roman" w:hAnsi="Times New Roman" w:cs="Times New Roman"/>
          <w:sz w:val="22"/>
          <w:szCs w:val="22"/>
        </w:rPr>
        <w:t xml:space="preserve">alleged to not cover certain </w:t>
      </w:r>
      <w:r w:rsidRPr="00BA7C70">
        <w:rPr>
          <w:rFonts w:ascii="Times New Roman" w:hAnsi="Times New Roman" w:cs="Times New Roman"/>
          <w:sz w:val="22"/>
          <w:szCs w:val="22"/>
        </w:rPr>
        <w:t xml:space="preserve">legitimate insurable risks were the following policies: (1) Special Risk - Loss of Services Insurance Policy, (2) Special Risk - Tax Liability Policy, </w:t>
      </w:r>
      <w:r>
        <w:rPr>
          <w:rFonts w:ascii="Times New Roman" w:hAnsi="Times New Roman" w:cs="Times New Roman"/>
          <w:sz w:val="22"/>
          <w:szCs w:val="22"/>
        </w:rPr>
        <w:t>and</w:t>
      </w:r>
      <w:r w:rsidRPr="00BA7C70">
        <w:rPr>
          <w:rFonts w:ascii="Times New Roman" w:hAnsi="Times New Roman" w:cs="Times New Roman"/>
          <w:sz w:val="22"/>
          <w:szCs w:val="22"/>
        </w:rPr>
        <w:t>, (</w:t>
      </w:r>
      <w:r>
        <w:rPr>
          <w:rFonts w:ascii="Times New Roman" w:hAnsi="Times New Roman" w:cs="Times New Roman"/>
          <w:sz w:val="22"/>
          <w:szCs w:val="22"/>
        </w:rPr>
        <w:t>3</w:t>
      </w:r>
      <w:r w:rsidRPr="00BA7C70">
        <w:rPr>
          <w:rFonts w:ascii="Times New Roman" w:hAnsi="Times New Roman" w:cs="Times New Roman"/>
          <w:sz w:val="22"/>
          <w:szCs w:val="22"/>
        </w:rPr>
        <w:t>)</w:t>
      </w:r>
      <w:r>
        <w:rPr>
          <w:rFonts w:ascii="Times New Roman" w:hAnsi="Times New Roman" w:cs="Times New Roman"/>
          <w:sz w:val="22"/>
          <w:szCs w:val="22"/>
        </w:rPr>
        <w:t xml:space="preserve"> </w:t>
      </w:r>
      <w:r w:rsidRPr="00BA7C70">
        <w:rPr>
          <w:rFonts w:ascii="Times New Roman" w:hAnsi="Times New Roman" w:cs="Times New Roman"/>
          <w:sz w:val="22"/>
          <w:szCs w:val="22"/>
        </w:rPr>
        <w:t>Excess Directors &amp; Officers Policy.</w:t>
      </w:r>
    </w:p>
    <w:p w14:paraId="5A10CF1A" w14:textId="77777777" w:rsidR="00FC046A" w:rsidRPr="00122525" w:rsidRDefault="00FC046A" w:rsidP="00E642E6">
      <w:pPr>
        <w:pStyle w:val="EndnoteText"/>
        <w:rPr>
          <w:rFonts w:ascii="Times New Roman" w:hAnsi="Times New Roman" w:cs="Times New Roman"/>
          <w:sz w:val="22"/>
          <w:szCs w:val="22"/>
        </w:rPr>
      </w:pPr>
    </w:p>
  </w:endnote>
  <w:endnote w:id="42">
    <w:p w14:paraId="00E58C9D" w14:textId="6052A521" w:rsidR="00FC046A" w:rsidRPr="00FC6CFE" w:rsidRDefault="00FC046A" w:rsidP="00364083">
      <w:pPr>
        <w:pStyle w:val="EndnoteText"/>
        <w:jc w:val="both"/>
        <w:rPr>
          <w:rFonts w:ascii="Times New Roman" w:hAnsi="Times New Roman" w:cs="Times New Roman"/>
          <w:sz w:val="22"/>
          <w:szCs w:val="22"/>
        </w:rPr>
      </w:pPr>
      <w:r w:rsidRPr="00681E73">
        <w:rPr>
          <w:rStyle w:val="EndnoteReference"/>
          <w:rFonts w:ascii="Times New Roman" w:hAnsi="Times New Roman" w:cs="Times New Roman"/>
          <w:sz w:val="22"/>
          <w:szCs w:val="22"/>
        </w:rPr>
        <w:endnoteRef/>
      </w:r>
      <w:r w:rsidRPr="00681E73">
        <w:rPr>
          <w:rFonts w:ascii="Times New Roman" w:hAnsi="Times New Roman" w:cs="Times New Roman"/>
          <w:sz w:val="22"/>
          <w:szCs w:val="22"/>
        </w:rPr>
        <w:t xml:space="preserve"> See </w:t>
      </w:r>
      <w:r w:rsidRPr="00FC6CFE">
        <w:rPr>
          <w:rFonts w:ascii="Times New Roman" w:hAnsi="Times New Roman" w:cs="Times New Roman"/>
          <w:sz w:val="22"/>
          <w:szCs w:val="22"/>
        </w:rPr>
        <w:t xml:space="preserve">testimony of Donald J. Riggin, </w:t>
      </w:r>
      <w:r>
        <w:rPr>
          <w:rFonts w:ascii="Times New Roman" w:hAnsi="Times New Roman" w:cs="Times New Roman"/>
          <w:sz w:val="22"/>
          <w:szCs w:val="22"/>
        </w:rPr>
        <w:t>Tr.</w:t>
      </w:r>
      <w:r w:rsidRPr="00FC6CFE">
        <w:rPr>
          <w:rFonts w:ascii="Times New Roman" w:hAnsi="Times New Roman" w:cs="Times New Roman"/>
          <w:sz w:val="22"/>
          <w:szCs w:val="22"/>
        </w:rPr>
        <w:t xml:space="preserve"> at 853</w:t>
      </w:r>
      <w:r>
        <w:rPr>
          <w:rFonts w:ascii="Times New Roman" w:hAnsi="Times New Roman" w:cs="Times New Roman"/>
          <w:sz w:val="22"/>
          <w:szCs w:val="22"/>
        </w:rPr>
        <w:t xml:space="preserve">, </w:t>
      </w:r>
      <w:r w:rsidRPr="00FC6CFE">
        <w:rPr>
          <w:rFonts w:ascii="Times New Roman" w:hAnsi="Times New Roman" w:cs="Times New Roman"/>
          <w:sz w:val="22"/>
          <w:szCs w:val="22"/>
        </w:rPr>
        <w:t>862-863 and Exhibit 136-R (Opening Expert Report of Donald Riggin, dated March 27, 2017).</w:t>
      </w:r>
      <w:r>
        <w:rPr>
          <w:rFonts w:ascii="Times New Roman" w:hAnsi="Times New Roman" w:cs="Times New Roman"/>
          <w:sz w:val="22"/>
          <w:szCs w:val="22"/>
        </w:rPr>
        <w:t xml:space="preserve">  </w:t>
      </w:r>
      <w:r w:rsidRPr="00FC6CFE">
        <w:rPr>
          <w:rFonts w:ascii="Times New Roman" w:hAnsi="Times New Roman" w:cs="Times New Roman"/>
          <w:sz w:val="22"/>
          <w:szCs w:val="22"/>
        </w:rPr>
        <w:t xml:space="preserve">See also  </w:t>
      </w:r>
      <w:hyperlink r:id="rId1" w:history="1">
        <w:r w:rsidRPr="00FC6CFE">
          <w:rPr>
            <w:rStyle w:val="Hyperlink"/>
            <w:rFonts w:ascii="Times New Roman" w:hAnsi="Times New Roman" w:cs="Times New Roman"/>
            <w:sz w:val="22"/>
            <w:szCs w:val="22"/>
          </w:rPr>
          <w:t>https://www.verisk.com/insurance/products/commercial-lines-manual-clm-information-on-isonet/</w:t>
        </w:r>
      </w:hyperlink>
      <w:r w:rsidRPr="00FC6CFE">
        <w:rPr>
          <w:rFonts w:ascii="Times New Roman" w:hAnsi="Times New Roman" w:cs="Times New Roman"/>
          <w:sz w:val="22"/>
          <w:szCs w:val="22"/>
        </w:rPr>
        <w:t xml:space="preserve"> and </w:t>
      </w:r>
      <w:hyperlink r:id="rId2" w:history="1">
        <w:r w:rsidRPr="00FC6CFE">
          <w:rPr>
            <w:rStyle w:val="Hyperlink"/>
            <w:rFonts w:ascii="Times New Roman" w:hAnsi="Times New Roman" w:cs="Times New Roman"/>
            <w:sz w:val="22"/>
            <w:szCs w:val="22"/>
          </w:rPr>
          <w:t>https://www.verisk.com/about/#</w:t>
        </w:r>
      </w:hyperlink>
      <w:r w:rsidRPr="00FC6CFE">
        <w:rPr>
          <w:rFonts w:ascii="Times New Roman" w:hAnsi="Times New Roman" w:cs="Times New Roman"/>
          <w:sz w:val="22"/>
          <w:szCs w:val="22"/>
        </w:rPr>
        <w:t>.</w:t>
      </w:r>
    </w:p>
    <w:p w14:paraId="01501551" w14:textId="77777777" w:rsidR="00FC046A" w:rsidRPr="00FC6CFE" w:rsidRDefault="00FC046A" w:rsidP="00364083">
      <w:pPr>
        <w:pStyle w:val="EndnoteText"/>
        <w:jc w:val="both"/>
        <w:rPr>
          <w:rFonts w:ascii="Times New Roman" w:hAnsi="Times New Roman" w:cs="Times New Roman"/>
          <w:sz w:val="22"/>
          <w:szCs w:val="22"/>
        </w:rPr>
      </w:pPr>
    </w:p>
  </w:endnote>
  <w:endnote w:id="43">
    <w:p w14:paraId="784E7354" w14:textId="724AEFCD" w:rsidR="00FC046A" w:rsidRPr="00FC6CFE" w:rsidRDefault="00FC046A" w:rsidP="00364083">
      <w:pPr>
        <w:pStyle w:val="EndnoteText"/>
        <w:jc w:val="both"/>
        <w:rPr>
          <w:rFonts w:ascii="Times New Roman" w:hAnsi="Times New Roman" w:cs="Times New Roman"/>
          <w:sz w:val="22"/>
          <w:szCs w:val="22"/>
        </w:rPr>
      </w:pPr>
      <w:r w:rsidRPr="00FC6CFE">
        <w:rPr>
          <w:rStyle w:val="EndnoteReference"/>
          <w:rFonts w:ascii="Times New Roman" w:hAnsi="Times New Roman" w:cs="Times New Roman"/>
          <w:sz w:val="22"/>
          <w:szCs w:val="22"/>
        </w:rPr>
        <w:endnoteRef/>
      </w:r>
      <w:r w:rsidRPr="00FC6CFE">
        <w:rPr>
          <w:rFonts w:ascii="Times New Roman" w:hAnsi="Times New Roman" w:cs="Times New Roman"/>
          <w:sz w:val="22"/>
          <w:szCs w:val="22"/>
        </w:rPr>
        <w:t xml:space="preserve"> See testimony of Donald J. Riggin, </w:t>
      </w:r>
      <w:r>
        <w:rPr>
          <w:rFonts w:ascii="Times New Roman" w:hAnsi="Times New Roman" w:cs="Times New Roman"/>
          <w:sz w:val="22"/>
          <w:szCs w:val="22"/>
        </w:rPr>
        <w:t>Tr.</w:t>
      </w:r>
      <w:r w:rsidRPr="00FC6CFE">
        <w:rPr>
          <w:rFonts w:ascii="Times New Roman" w:hAnsi="Times New Roman" w:cs="Times New Roman"/>
          <w:sz w:val="22"/>
          <w:szCs w:val="22"/>
        </w:rPr>
        <w:t xml:space="preserve"> at 891.</w:t>
      </w:r>
    </w:p>
    <w:p w14:paraId="74AB5DFA" w14:textId="77777777" w:rsidR="00FC046A" w:rsidRPr="00FC6CFE" w:rsidRDefault="00FC046A" w:rsidP="00364083">
      <w:pPr>
        <w:pStyle w:val="EndnoteText"/>
        <w:jc w:val="both"/>
        <w:rPr>
          <w:rFonts w:ascii="Times New Roman" w:hAnsi="Times New Roman" w:cs="Times New Roman"/>
          <w:sz w:val="22"/>
          <w:szCs w:val="22"/>
        </w:rPr>
      </w:pPr>
    </w:p>
  </w:endnote>
  <w:endnote w:id="44">
    <w:p w14:paraId="5E9CDDDE" w14:textId="3FDE7605" w:rsidR="00FC046A" w:rsidRPr="00080BF8" w:rsidRDefault="00FC046A">
      <w:pPr>
        <w:pStyle w:val="EndnoteText"/>
        <w:rPr>
          <w:rFonts w:ascii="Times New Roman" w:hAnsi="Times New Roman" w:cs="Times New Roman"/>
          <w:sz w:val="22"/>
          <w:szCs w:val="22"/>
        </w:rPr>
      </w:pPr>
      <w:r w:rsidRPr="00080BF8">
        <w:rPr>
          <w:rStyle w:val="EndnoteReference"/>
          <w:rFonts w:ascii="Times New Roman" w:hAnsi="Times New Roman" w:cs="Times New Roman"/>
          <w:sz w:val="22"/>
          <w:szCs w:val="22"/>
        </w:rPr>
        <w:endnoteRef/>
      </w:r>
      <w:r w:rsidRPr="00080BF8">
        <w:rPr>
          <w:rFonts w:ascii="Times New Roman" w:hAnsi="Times New Roman" w:cs="Times New Roman"/>
          <w:sz w:val="22"/>
          <w:szCs w:val="22"/>
        </w:rPr>
        <w:t xml:space="preserve"> </w:t>
      </w:r>
      <w:r>
        <w:rPr>
          <w:rFonts w:ascii="Times New Roman" w:hAnsi="Times New Roman" w:cs="Times New Roman"/>
          <w:sz w:val="22"/>
          <w:szCs w:val="22"/>
        </w:rPr>
        <w:t>See 61 of the Opinion.</w:t>
      </w:r>
    </w:p>
    <w:p w14:paraId="42F86AEF" w14:textId="77777777" w:rsidR="00FC046A" w:rsidRPr="00080BF8" w:rsidRDefault="00FC046A">
      <w:pPr>
        <w:pStyle w:val="EndnoteText"/>
        <w:rPr>
          <w:rFonts w:ascii="Times New Roman" w:hAnsi="Times New Roman" w:cs="Times New Roman"/>
          <w:sz w:val="22"/>
          <w:szCs w:val="22"/>
        </w:rPr>
      </w:pPr>
    </w:p>
  </w:endnote>
  <w:endnote w:id="45">
    <w:p w14:paraId="4F2B3222" w14:textId="3E300FE9" w:rsidR="00FC046A" w:rsidRDefault="00FC046A" w:rsidP="009E2D08">
      <w:pPr>
        <w:pStyle w:val="EndnoteText"/>
        <w:rPr>
          <w:rFonts w:ascii="Times New Roman" w:hAnsi="Times New Roman" w:cs="Times New Roman"/>
          <w:sz w:val="22"/>
          <w:szCs w:val="22"/>
        </w:rPr>
      </w:pPr>
      <w:r w:rsidRPr="001A16AF">
        <w:rPr>
          <w:rStyle w:val="EndnoteReference"/>
          <w:rFonts w:ascii="Times New Roman" w:hAnsi="Times New Roman" w:cs="Times New Roman"/>
          <w:sz w:val="22"/>
          <w:szCs w:val="22"/>
        </w:rPr>
        <w:endnoteRef/>
      </w:r>
      <w:r w:rsidRPr="001A16AF">
        <w:rPr>
          <w:rFonts w:ascii="Times New Roman" w:hAnsi="Times New Roman" w:cs="Times New Roman"/>
          <w:sz w:val="22"/>
          <w:szCs w:val="22"/>
        </w:rPr>
        <w:t xml:space="preserve"> </w:t>
      </w:r>
      <w:r>
        <w:rPr>
          <w:rFonts w:ascii="Times New Roman" w:hAnsi="Times New Roman" w:cs="Times New Roman"/>
          <w:sz w:val="22"/>
          <w:szCs w:val="22"/>
        </w:rPr>
        <w:t xml:space="preserve">In </w:t>
      </w:r>
      <w:r w:rsidRPr="001A16AF">
        <w:rPr>
          <w:rFonts w:ascii="Times New Roman" w:hAnsi="Times New Roman" w:cs="Times New Roman"/>
          <w:sz w:val="22"/>
          <w:szCs w:val="22"/>
        </w:rPr>
        <w:t>the Opinion</w:t>
      </w:r>
      <w:r>
        <w:rPr>
          <w:rFonts w:ascii="Times New Roman" w:hAnsi="Times New Roman" w:cs="Times New Roman"/>
          <w:sz w:val="22"/>
          <w:szCs w:val="22"/>
        </w:rPr>
        <w:t xml:space="preserve"> at 46</w:t>
      </w:r>
      <w:r w:rsidRPr="001A16AF">
        <w:rPr>
          <w:rFonts w:ascii="Times New Roman" w:hAnsi="Times New Roman" w:cs="Times New Roman"/>
          <w:sz w:val="22"/>
          <w:szCs w:val="22"/>
        </w:rPr>
        <w:t xml:space="preserve">, the </w:t>
      </w:r>
      <w:r>
        <w:rPr>
          <w:rFonts w:ascii="Times New Roman" w:hAnsi="Times New Roman" w:cs="Times New Roman"/>
          <w:sz w:val="22"/>
          <w:szCs w:val="22"/>
        </w:rPr>
        <w:t>C</w:t>
      </w:r>
      <w:r w:rsidRPr="001A16AF">
        <w:rPr>
          <w:rFonts w:ascii="Times New Roman" w:hAnsi="Times New Roman" w:cs="Times New Roman"/>
          <w:sz w:val="22"/>
          <w:szCs w:val="22"/>
        </w:rPr>
        <w:t xml:space="preserve">ourt found that </w:t>
      </w:r>
      <w:r>
        <w:rPr>
          <w:rFonts w:ascii="Times New Roman" w:hAnsi="Times New Roman" w:cs="Times New Roman"/>
          <w:sz w:val="22"/>
          <w:szCs w:val="22"/>
        </w:rPr>
        <w:t>“</w:t>
      </w:r>
      <w:r w:rsidRPr="009E2D08">
        <w:rPr>
          <w:rFonts w:ascii="Times New Roman" w:hAnsi="Times New Roman" w:cs="Times New Roman"/>
          <w:sz w:val="22"/>
          <w:szCs w:val="22"/>
        </w:rPr>
        <w:t>PoolRe</w:t>
      </w:r>
      <w:r>
        <w:rPr>
          <w:rFonts w:ascii="Times New Roman" w:hAnsi="Times New Roman" w:cs="Times New Roman"/>
          <w:sz w:val="22"/>
          <w:szCs w:val="22"/>
        </w:rPr>
        <w:t>’</w:t>
      </w:r>
      <w:r w:rsidRPr="009E2D08">
        <w:rPr>
          <w:rFonts w:ascii="Times New Roman" w:hAnsi="Times New Roman" w:cs="Times New Roman"/>
          <w:sz w:val="22"/>
          <w:szCs w:val="22"/>
        </w:rPr>
        <w:t>s activities as they</w:t>
      </w:r>
      <w:r>
        <w:rPr>
          <w:rFonts w:ascii="Times New Roman" w:hAnsi="Times New Roman" w:cs="Times New Roman"/>
          <w:sz w:val="22"/>
          <w:szCs w:val="22"/>
        </w:rPr>
        <w:t xml:space="preserve"> </w:t>
      </w:r>
      <w:r w:rsidRPr="009E2D08">
        <w:rPr>
          <w:rFonts w:ascii="Times New Roman" w:hAnsi="Times New Roman" w:cs="Times New Roman"/>
          <w:sz w:val="22"/>
          <w:szCs w:val="22"/>
        </w:rPr>
        <w:t xml:space="preserve">relate to </w:t>
      </w:r>
      <w:r>
        <w:rPr>
          <w:rFonts w:ascii="Times New Roman" w:hAnsi="Times New Roman" w:cs="Times New Roman"/>
          <w:sz w:val="22"/>
          <w:szCs w:val="22"/>
        </w:rPr>
        <w:t>[Reserve’s quota share</w:t>
      </w:r>
      <w:r w:rsidRPr="009E2D08">
        <w:rPr>
          <w:rFonts w:ascii="Times New Roman" w:hAnsi="Times New Roman" w:cs="Times New Roman"/>
          <w:sz w:val="22"/>
          <w:szCs w:val="22"/>
        </w:rPr>
        <w:t xml:space="preserve"> policies</w:t>
      </w:r>
      <w:r>
        <w:rPr>
          <w:rFonts w:ascii="Times New Roman" w:hAnsi="Times New Roman" w:cs="Times New Roman"/>
          <w:sz w:val="22"/>
          <w:szCs w:val="22"/>
        </w:rPr>
        <w:t xml:space="preserve"> with PoolRe]</w:t>
      </w:r>
      <w:r w:rsidRPr="009E2D08">
        <w:rPr>
          <w:rFonts w:ascii="Times New Roman" w:hAnsi="Times New Roman" w:cs="Times New Roman"/>
          <w:sz w:val="22"/>
          <w:szCs w:val="22"/>
        </w:rPr>
        <w:t xml:space="preserve"> were not those of a bona fide insurance company</w:t>
      </w:r>
      <w:r>
        <w:rPr>
          <w:rFonts w:ascii="Times New Roman" w:hAnsi="Times New Roman" w:cs="Times New Roman"/>
          <w:sz w:val="22"/>
          <w:szCs w:val="22"/>
        </w:rPr>
        <w:t>” even though PoolRe was not a party and this was not an issue presented to the Court.</w:t>
      </w:r>
    </w:p>
    <w:p w14:paraId="472F1DFD" w14:textId="77777777" w:rsidR="00FC046A" w:rsidRPr="001A16AF" w:rsidRDefault="00FC046A" w:rsidP="009E2D08">
      <w:pPr>
        <w:pStyle w:val="EndnoteText"/>
        <w:rPr>
          <w:rFonts w:ascii="Times New Roman" w:hAnsi="Times New Roman" w:cs="Times New Roman"/>
          <w:sz w:val="22"/>
          <w:szCs w:val="22"/>
        </w:rPr>
      </w:pPr>
    </w:p>
  </w:endnote>
  <w:endnote w:id="46">
    <w:p w14:paraId="2A2C23F2" w14:textId="741B3A74" w:rsidR="00FC046A" w:rsidRDefault="00FC046A" w:rsidP="00441832">
      <w:pPr>
        <w:pStyle w:val="EndnoteText"/>
        <w:rPr>
          <w:rFonts w:ascii="Times New Roman" w:hAnsi="Times New Roman" w:cs="Times New Roman"/>
          <w:sz w:val="22"/>
          <w:szCs w:val="22"/>
        </w:rPr>
      </w:pPr>
      <w:r w:rsidRPr="00660989">
        <w:rPr>
          <w:rStyle w:val="EndnoteReference"/>
          <w:rFonts w:ascii="Times New Roman" w:hAnsi="Times New Roman" w:cs="Times New Roman"/>
          <w:sz w:val="22"/>
          <w:szCs w:val="22"/>
        </w:rPr>
        <w:endnoteRef/>
      </w:r>
      <w:r w:rsidRPr="00660989">
        <w:rPr>
          <w:rFonts w:ascii="Times New Roman" w:hAnsi="Times New Roman" w:cs="Times New Roman"/>
          <w:sz w:val="22"/>
          <w:szCs w:val="22"/>
        </w:rPr>
        <w:t xml:space="preserve"> </w:t>
      </w:r>
      <w:r>
        <w:rPr>
          <w:rFonts w:ascii="Times New Roman" w:hAnsi="Times New Roman" w:cs="Times New Roman"/>
          <w:sz w:val="22"/>
          <w:szCs w:val="22"/>
        </w:rPr>
        <w:t xml:space="preserve">For example, </w:t>
      </w:r>
      <w:r w:rsidRPr="002E1B00">
        <w:rPr>
          <w:rFonts w:ascii="Times New Roman" w:hAnsi="Times New Roman" w:cs="Times New Roman"/>
          <w:sz w:val="22"/>
          <w:szCs w:val="22"/>
        </w:rPr>
        <w:t xml:space="preserve">the </w:t>
      </w:r>
      <w:r>
        <w:rPr>
          <w:rFonts w:ascii="Times New Roman" w:hAnsi="Times New Roman" w:cs="Times New Roman"/>
          <w:sz w:val="22"/>
          <w:szCs w:val="22"/>
        </w:rPr>
        <w:t>C</w:t>
      </w:r>
      <w:r w:rsidRPr="002E1B00">
        <w:rPr>
          <w:rFonts w:ascii="Times New Roman" w:hAnsi="Times New Roman" w:cs="Times New Roman"/>
          <w:sz w:val="22"/>
          <w:szCs w:val="22"/>
        </w:rPr>
        <w:t xml:space="preserve">ourt </w:t>
      </w:r>
      <w:r>
        <w:rPr>
          <w:rFonts w:ascii="Times New Roman" w:hAnsi="Times New Roman" w:cs="Times New Roman"/>
          <w:sz w:val="22"/>
          <w:szCs w:val="22"/>
        </w:rPr>
        <w:t xml:space="preserve">made findings regarding whether the non-party Peak insureds had a need or business purpose for acquiring insurance from Reserve.  In the Opinion at </w:t>
      </w:r>
      <w:r w:rsidRPr="00E47044">
        <w:rPr>
          <w:rFonts w:ascii="Times New Roman" w:hAnsi="Times New Roman" w:cs="Times New Roman"/>
          <w:sz w:val="22"/>
          <w:szCs w:val="22"/>
        </w:rPr>
        <w:t>60</w:t>
      </w:r>
      <w:r>
        <w:rPr>
          <w:rFonts w:ascii="Times New Roman" w:hAnsi="Times New Roman" w:cs="Times New Roman"/>
          <w:sz w:val="22"/>
          <w:szCs w:val="22"/>
        </w:rPr>
        <w:t xml:space="preserve">, the Court stated </w:t>
      </w:r>
      <w:r w:rsidRPr="002E1B00">
        <w:rPr>
          <w:rFonts w:ascii="Times New Roman" w:hAnsi="Times New Roman" w:cs="Times New Roman"/>
          <w:sz w:val="22"/>
          <w:szCs w:val="22"/>
        </w:rPr>
        <w:t>as follows: “</w:t>
      </w:r>
      <w:r w:rsidRPr="00F6545B">
        <w:rPr>
          <w:rFonts w:ascii="Times New Roman" w:hAnsi="Times New Roman" w:cs="Times New Roman"/>
          <w:sz w:val="22"/>
          <w:szCs w:val="22"/>
        </w:rPr>
        <w:t xml:space="preserve">The facts </w:t>
      </w:r>
      <w:r w:rsidRPr="009A1146">
        <w:rPr>
          <w:rFonts w:ascii="Times New Roman" w:hAnsi="Times New Roman" w:cs="Times New Roman"/>
          <w:b/>
          <w:sz w:val="22"/>
          <w:szCs w:val="22"/>
        </w:rPr>
        <w:t xml:space="preserve">do not reflect that </w:t>
      </w:r>
      <w:r>
        <w:rPr>
          <w:rFonts w:ascii="Times New Roman" w:hAnsi="Times New Roman" w:cs="Times New Roman"/>
          <w:b/>
          <w:sz w:val="22"/>
          <w:szCs w:val="22"/>
        </w:rPr>
        <w:t xml:space="preserve">[non-party] </w:t>
      </w:r>
      <w:r w:rsidRPr="009A1146">
        <w:rPr>
          <w:rFonts w:ascii="Times New Roman" w:hAnsi="Times New Roman" w:cs="Times New Roman"/>
          <w:b/>
          <w:sz w:val="22"/>
          <w:szCs w:val="22"/>
        </w:rPr>
        <w:t>Peak had a genuine need for acquiring additional insurance</w:t>
      </w:r>
      <w:r w:rsidRPr="00F6545B">
        <w:rPr>
          <w:rFonts w:ascii="Times New Roman" w:hAnsi="Times New Roman" w:cs="Times New Roman"/>
          <w:sz w:val="22"/>
          <w:szCs w:val="22"/>
        </w:rPr>
        <w:t xml:space="preserve"> during the tax years in issue. There was no significant history of losses that would justify such a drastic increase, and Zumbaum</w:t>
      </w:r>
      <w:r>
        <w:rPr>
          <w:rFonts w:ascii="Times New Roman" w:hAnsi="Times New Roman" w:cs="Times New Roman"/>
          <w:sz w:val="22"/>
          <w:szCs w:val="22"/>
        </w:rPr>
        <w:t>’</w:t>
      </w:r>
      <w:r w:rsidRPr="00F6545B">
        <w:rPr>
          <w:rFonts w:ascii="Times New Roman" w:hAnsi="Times New Roman" w:cs="Times New Roman"/>
          <w:sz w:val="22"/>
          <w:szCs w:val="22"/>
        </w:rPr>
        <w:t xml:space="preserve">s testimony that he was concerned about increased risks beginning in 2008 did not support a significant increase in insurance coverage. </w:t>
      </w:r>
      <w:r w:rsidRPr="003D6B58">
        <w:rPr>
          <w:rFonts w:ascii="Times New Roman" w:hAnsi="Times New Roman" w:cs="Times New Roman"/>
          <w:b/>
          <w:sz w:val="22"/>
          <w:szCs w:val="22"/>
        </w:rPr>
        <w:t>All the direct written policies included a provision that the coverage afforded by the policy would be valid only after insurance coverage from other insurers was exhausted. Peak had never come close to exhausting the policy limits of its third-party commercial insurance coverage</w:t>
      </w:r>
      <w:r>
        <w:rPr>
          <w:rFonts w:ascii="Times New Roman" w:hAnsi="Times New Roman" w:cs="Times New Roman"/>
          <w:sz w:val="22"/>
          <w:szCs w:val="22"/>
        </w:rPr>
        <w:t xml:space="preserve">.” </w:t>
      </w:r>
      <w:r w:rsidRPr="009A1146">
        <w:rPr>
          <w:rFonts w:ascii="Times New Roman" w:hAnsi="Times New Roman" w:cs="Times New Roman"/>
          <w:sz w:val="22"/>
          <w:szCs w:val="22"/>
        </w:rPr>
        <w:t>(Emphasis added).</w:t>
      </w:r>
      <w:r>
        <w:rPr>
          <w:rFonts w:ascii="Times New Roman" w:hAnsi="Times New Roman" w:cs="Times New Roman"/>
          <w:sz w:val="22"/>
          <w:szCs w:val="22"/>
        </w:rPr>
        <w:t xml:space="preserve">  </w:t>
      </w:r>
    </w:p>
    <w:p w14:paraId="15AB4357" w14:textId="77777777" w:rsidR="00FC046A" w:rsidRPr="00356153" w:rsidRDefault="00FC046A" w:rsidP="00441832">
      <w:pPr>
        <w:pStyle w:val="EndnoteText"/>
        <w:rPr>
          <w:rFonts w:ascii="Times New Roman" w:hAnsi="Times New Roman" w:cs="Times New Roman"/>
          <w:sz w:val="22"/>
          <w:szCs w:val="22"/>
        </w:rPr>
      </w:pPr>
    </w:p>
    <w:p w14:paraId="55CAC9B9" w14:textId="31A06711" w:rsidR="00FC046A" w:rsidRDefault="00FC046A" w:rsidP="00441832">
      <w:pPr>
        <w:pStyle w:val="EndnoteText"/>
        <w:rPr>
          <w:rFonts w:ascii="Times New Roman" w:hAnsi="Times New Roman" w:cs="Times New Roman"/>
          <w:sz w:val="22"/>
          <w:szCs w:val="22"/>
        </w:rPr>
      </w:pPr>
      <w:r>
        <w:rPr>
          <w:rFonts w:ascii="Times New Roman" w:hAnsi="Times New Roman" w:cs="Times New Roman"/>
          <w:sz w:val="22"/>
          <w:szCs w:val="22"/>
        </w:rPr>
        <w:t xml:space="preserve">The Court erroneous read the policies’ contractual terms.  </w:t>
      </w:r>
      <w:r w:rsidRPr="00356153">
        <w:rPr>
          <w:rFonts w:ascii="Times New Roman" w:hAnsi="Times New Roman" w:cs="Times New Roman"/>
          <w:sz w:val="22"/>
          <w:szCs w:val="22"/>
        </w:rPr>
        <w:t xml:space="preserve">There was no other coverage for the </w:t>
      </w:r>
      <w:r>
        <w:rPr>
          <w:rFonts w:ascii="Times New Roman" w:hAnsi="Times New Roman" w:cs="Times New Roman"/>
          <w:sz w:val="22"/>
          <w:szCs w:val="22"/>
        </w:rPr>
        <w:t xml:space="preserve">Peak insureds’ </w:t>
      </w:r>
      <w:r w:rsidRPr="00356153">
        <w:rPr>
          <w:rFonts w:ascii="Times New Roman" w:hAnsi="Times New Roman" w:cs="Times New Roman"/>
          <w:sz w:val="22"/>
          <w:szCs w:val="22"/>
        </w:rPr>
        <w:t>risks</w:t>
      </w:r>
      <w:r>
        <w:rPr>
          <w:rFonts w:ascii="Times New Roman" w:hAnsi="Times New Roman" w:cs="Times New Roman"/>
          <w:sz w:val="22"/>
          <w:szCs w:val="22"/>
        </w:rPr>
        <w:t xml:space="preserve"> obtained through Reserve.  The policies in question </w:t>
      </w:r>
      <w:r w:rsidRPr="00356153">
        <w:rPr>
          <w:rFonts w:ascii="Times New Roman" w:hAnsi="Times New Roman" w:cs="Times New Roman"/>
          <w:sz w:val="22"/>
          <w:szCs w:val="22"/>
        </w:rPr>
        <w:t>included an industry</w:t>
      </w:r>
      <w:r>
        <w:rPr>
          <w:rFonts w:ascii="Times New Roman" w:hAnsi="Times New Roman" w:cs="Times New Roman"/>
          <w:sz w:val="22"/>
          <w:szCs w:val="22"/>
        </w:rPr>
        <w:t>-</w:t>
      </w:r>
      <w:r w:rsidRPr="00356153">
        <w:rPr>
          <w:rFonts w:ascii="Times New Roman" w:hAnsi="Times New Roman" w:cs="Times New Roman"/>
          <w:sz w:val="22"/>
          <w:szCs w:val="22"/>
        </w:rPr>
        <w:t>standard</w:t>
      </w:r>
      <w:r>
        <w:rPr>
          <w:rFonts w:ascii="Times New Roman" w:hAnsi="Times New Roman" w:cs="Times New Roman"/>
          <w:sz w:val="22"/>
          <w:szCs w:val="22"/>
        </w:rPr>
        <w:t xml:space="preserve"> general</w:t>
      </w:r>
      <w:r w:rsidRPr="00356153">
        <w:rPr>
          <w:rFonts w:ascii="Times New Roman" w:hAnsi="Times New Roman" w:cs="Times New Roman"/>
          <w:sz w:val="22"/>
          <w:szCs w:val="22"/>
        </w:rPr>
        <w:t xml:space="preserve"> provision that provided if there were other coverage (which there wasn’t), that Reserve’s policies would be secondary.  The Court </w:t>
      </w:r>
      <w:r>
        <w:rPr>
          <w:rFonts w:ascii="Times New Roman" w:hAnsi="Times New Roman" w:cs="Times New Roman"/>
          <w:sz w:val="22"/>
          <w:szCs w:val="22"/>
        </w:rPr>
        <w:t xml:space="preserve">erroneously </w:t>
      </w:r>
      <w:r w:rsidRPr="00356153">
        <w:rPr>
          <w:rFonts w:ascii="Times New Roman" w:hAnsi="Times New Roman" w:cs="Times New Roman"/>
          <w:sz w:val="22"/>
          <w:szCs w:val="22"/>
        </w:rPr>
        <w:t xml:space="preserve">took this to mean that the insureds would have to exhaust the limits on </w:t>
      </w:r>
      <w:r>
        <w:rPr>
          <w:rFonts w:ascii="Times New Roman" w:hAnsi="Times New Roman" w:cs="Times New Roman"/>
          <w:sz w:val="22"/>
          <w:szCs w:val="22"/>
        </w:rPr>
        <w:t xml:space="preserve">all </w:t>
      </w:r>
      <w:r w:rsidRPr="00356153">
        <w:rPr>
          <w:rFonts w:ascii="Times New Roman" w:hAnsi="Times New Roman" w:cs="Times New Roman"/>
          <w:sz w:val="22"/>
          <w:szCs w:val="22"/>
        </w:rPr>
        <w:t xml:space="preserve">commercial policies </w:t>
      </w:r>
      <w:r>
        <w:rPr>
          <w:rFonts w:ascii="Times New Roman" w:hAnsi="Times New Roman" w:cs="Times New Roman"/>
          <w:sz w:val="22"/>
          <w:szCs w:val="22"/>
        </w:rPr>
        <w:t xml:space="preserve">regardless of what they covered </w:t>
      </w:r>
      <w:r w:rsidRPr="00356153">
        <w:rPr>
          <w:rFonts w:ascii="Times New Roman" w:hAnsi="Times New Roman" w:cs="Times New Roman"/>
          <w:sz w:val="22"/>
          <w:szCs w:val="22"/>
        </w:rPr>
        <w:t xml:space="preserve">before Reserve’s policies would apply.  As a matter of law, the tax court was </w:t>
      </w:r>
      <w:r>
        <w:rPr>
          <w:rFonts w:ascii="Times New Roman" w:hAnsi="Times New Roman" w:cs="Times New Roman"/>
          <w:sz w:val="22"/>
          <w:szCs w:val="22"/>
        </w:rPr>
        <w:t xml:space="preserve">fundamentally </w:t>
      </w:r>
      <w:r w:rsidRPr="00356153">
        <w:rPr>
          <w:rFonts w:ascii="Times New Roman" w:hAnsi="Times New Roman" w:cs="Times New Roman"/>
          <w:sz w:val="22"/>
          <w:szCs w:val="22"/>
        </w:rPr>
        <w:t>in error in its interpretation of the policy and was clearly erroneous in so finding based on the evidence presented at trial.</w:t>
      </w:r>
    </w:p>
    <w:p w14:paraId="719EBDE8" w14:textId="77777777" w:rsidR="00FC046A" w:rsidRPr="00437BB7" w:rsidRDefault="00FC046A" w:rsidP="00441832">
      <w:pPr>
        <w:pStyle w:val="EndnoteText"/>
        <w:rPr>
          <w:rFonts w:ascii="Times New Roman" w:hAnsi="Times New Roman" w:cs="Times New Roman"/>
          <w:sz w:val="22"/>
          <w:szCs w:val="22"/>
        </w:rPr>
      </w:pPr>
    </w:p>
  </w:endnote>
  <w:endnote w:id="47">
    <w:p w14:paraId="3A73E8A8" w14:textId="2B4685DA" w:rsidR="00FC046A" w:rsidRPr="00437BB7" w:rsidRDefault="00FC046A" w:rsidP="0070232C">
      <w:pPr>
        <w:pStyle w:val="EndnoteText"/>
        <w:rPr>
          <w:rFonts w:ascii="Times New Roman" w:hAnsi="Times New Roman" w:cs="Times New Roman"/>
          <w:sz w:val="22"/>
          <w:szCs w:val="22"/>
        </w:rPr>
      </w:pPr>
      <w:r w:rsidRPr="00437BB7">
        <w:rPr>
          <w:rStyle w:val="EndnoteReference"/>
          <w:rFonts w:ascii="Times New Roman" w:hAnsi="Times New Roman" w:cs="Times New Roman"/>
          <w:sz w:val="22"/>
          <w:szCs w:val="22"/>
        </w:rPr>
        <w:endnoteRef/>
      </w:r>
      <w:r w:rsidRPr="00437BB7">
        <w:rPr>
          <w:rFonts w:ascii="Times New Roman" w:hAnsi="Times New Roman" w:cs="Times New Roman"/>
          <w:sz w:val="22"/>
          <w:szCs w:val="22"/>
        </w:rPr>
        <w:t xml:space="preserve"> See </w:t>
      </w:r>
      <w:r w:rsidRPr="00540300">
        <w:rPr>
          <w:rFonts w:ascii="Times New Roman" w:hAnsi="Times New Roman" w:cs="Times New Roman"/>
          <w:sz w:val="22"/>
          <w:szCs w:val="22"/>
        </w:rPr>
        <w:t xml:space="preserve">47 of the Opinion, where the Court concluded </w:t>
      </w:r>
      <w:r>
        <w:rPr>
          <w:rFonts w:ascii="Times New Roman" w:hAnsi="Times New Roman" w:cs="Times New Roman"/>
          <w:sz w:val="22"/>
          <w:szCs w:val="22"/>
        </w:rPr>
        <w:t>that the</w:t>
      </w:r>
      <w:r w:rsidRPr="00540300">
        <w:rPr>
          <w:rFonts w:ascii="Times New Roman" w:hAnsi="Times New Roman" w:cs="Times New Roman"/>
          <w:sz w:val="22"/>
          <w:szCs w:val="22"/>
        </w:rPr>
        <w:t xml:space="preserve"> coinsurance contracts </w:t>
      </w:r>
      <w:r>
        <w:rPr>
          <w:rFonts w:ascii="Times New Roman" w:hAnsi="Times New Roman" w:cs="Times New Roman"/>
          <w:sz w:val="22"/>
          <w:szCs w:val="22"/>
        </w:rPr>
        <w:t xml:space="preserve">that </w:t>
      </w:r>
      <w:r w:rsidRPr="00540300">
        <w:rPr>
          <w:rFonts w:ascii="Times New Roman" w:hAnsi="Times New Roman" w:cs="Times New Roman"/>
          <w:sz w:val="22"/>
          <w:szCs w:val="22"/>
        </w:rPr>
        <w:t>Reserve executed with PoolRe</w:t>
      </w:r>
      <w:r>
        <w:rPr>
          <w:rFonts w:ascii="Times New Roman" w:hAnsi="Times New Roman" w:cs="Times New Roman"/>
          <w:sz w:val="22"/>
          <w:szCs w:val="22"/>
        </w:rPr>
        <w:t xml:space="preserve"> were not bona fide reinsurance agreements, stating: </w:t>
      </w:r>
      <w:r w:rsidRPr="006318B2">
        <w:rPr>
          <w:rFonts w:ascii="Times New Roman" w:hAnsi="Times New Roman" w:cs="Times New Roman"/>
          <w:sz w:val="22"/>
          <w:szCs w:val="22"/>
        </w:rPr>
        <w:t>“On the basis of the relevant facts and circumstances we conclude that the coinsurance contracts were not bona fide reinsurance agreements. Reserve has not established that the contracts underlying the purported reinsurance transactions existed or that the transactions involved actual risk.”</w:t>
      </w:r>
      <w:r>
        <w:rPr>
          <w:rFonts w:ascii="Times New Roman" w:hAnsi="Times New Roman" w:cs="Times New Roman"/>
          <w:sz w:val="22"/>
          <w:szCs w:val="22"/>
        </w:rPr>
        <w:t xml:space="preserve">  The Opinion did not cite to any authority to support this erroneous statement</w:t>
      </w:r>
      <w:bookmarkStart w:id="5" w:name="_Hlk531705372"/>
      <w:r>
        <w:rPr>
          <w:rFonts w:ascii="Times New Roman" w:hAnsi="Times New Roman" w:cs="Times New Roman"/>
          <w:sz w:val="22"/>
          <w:szCs w:val="22"/>
        </w:rPr>
        <w:t xml:space="preserve"> regarding an uncontroverted fact that was established at trial.</w:t>
      </w:r>
    </w:p>
    <w:bookmarkEnd w:id="5"/>
    <w:p w14:paraId="0BB140B6" w14:textId="77777777" w:rsidR="00FC046A" w:rsidRPr="00581AEA" w:rsidRDefault="00FC046A" w:rsidP="0000367E">
      <w:pPr>
        <w:pStyle w:val="EndnoteText"/>
        <w:rPr>
          <w:rFonts w:ascii="Times New Roman" w:hAnsi="Times New Roman" w:cs="Times New Roman"/>
          <w:sz w:val="22"/>
          <w:szCs w:val="22"/>
        </w:rPr>
      </w:pPr>
    </w:p>
  </w:endnote>
  <w:endnote w:id="48">
    <w:p w14:paraId="593E5908" w14:textId="6D751366" w:rsidR="00FC046A" w:rsidRPr="00581AEA" w:rsidRDefault="00FC046A" w:rsidP="00581AEA">
      <w:pPr>
        <w:pStyle w:val="EndnoteText"/>
        <w:rPr>
          <w:rFonts w:ascii="Times New Roman" w:hAnsi="Times New Roman" w:cs="Times New Roman"/>
          <w:sz w:val="22"/>
          <w:szCs w:val="22"/>
        </w:rPr>
      </w:pPr>
      <w:r w:rsidRPr="00581AEA">
        <w:rPr>
          <w:rStyle w:val="EndnoteReference"/>
          <w:rFonts w:ascii="Times New Roman" w:hAnsi="Times New Roman" w:cs="Times New Roman"/>
          <w:sz w:val="22"/>
          <w:szCs w:val="22"/>
        </w:rPr>
        <w:endnoteRef/>
      </w:r>
      <w:r w:rsidRPr="00581AEA">
        <w:rPr>
          <w:rFonts w:ascii="Times New Roman" w:hAnsi="Times New Roman" w:cs="Times New Roman"/>
          <w:sz w:val="22"/>
          <w:szCs w:val="22"/>
        </w:rPr>
        <w:t xml:space="preserve"> The existence of the coinsurance contracts and terms of the reinsurance arrangement were established by uncontroverted expert witness testimony and documentary evidence.  See Exhibit 104-P (Expert Report of Dr. Neil Doherty, dated March 27, 2017), </w:t>
      </w:r>
      <w:r>
        <w:rPr>
          <w:rFonts w:ascii="Times New Roman" w:hAnsi="Times New Roman" w:cs="Times New Roman"/>
          <w:sz w:val="22"/>
          <w:szCs w:val="22"/>
        </w:rPr>
        <w:t xml:space="preserve">at </w:t>
      </w:r>
      <w:r w:rsidRPr="00581AEA">
        <w:rPr>
          <w:rFonts w:ascii="Times New Roman" w:hAnsi="Times New Roman" w:cs="Times New Roman"/>
          <w:sz w:val="22"/>
          <w:szCs w:val="22"/>
        </w:rPr>
        <w:t>page 15, where Dr. Doherty described the reinsurance arrangement with respect to the coinsurance contracts as follows: “In the second part of the Capstone program, the captives of the various members assume more unrelated insurance under a second reinsurance program between PoolRe, and a unrelated reinsurer, Credit Re</w:t>
      </w:r>
      <w:r>
        <w:rPr>
          <w:rFonts w:ascii="Times New Roman" w:hAnsi="Times New Roman" w:cs="Times New Roman"/>
          <w:sz w:val="22"/>
          <w:szCs w:val="22"/>
        </w:rPr>
        <w:t>…</w:t>
      </w:r>
      <w:r w:rsidRPr="00581AEA">
        <w:rPr>
          <w:rFonts w:ascii="Times New Roman" w:hAnsi="Times New Roman" w:cs="Times New Roman"/>
          <w:sz w:val="22"/>
          <w:szCs w:val="22"/>
        </w:rPr>
        <w:t xml:space="preserve"> Credit Re reinsures a form of contractual liability risk associated with vehicle service contracts and writes many thousands of policies. The risk exposure on these policies is unrelated to the Capstone participating companies. The overall pool of exposures assumed by PoolRe is then reinsured on a proportional (quota share) basis with more than 50 captive insurers.”</w:t>
      </w:r>
    </w:p>
    <w:p w14:paraId="47EA7740" w14:textId="77777777" w:rsidR="00FC046A" w:rsidRPr="00581AEA" w:rsidRDefault="00FC046A" w:rsidP="00581AEA">
      <w:pPr>
        <w:pStyle w:val="EndnoteText"/>
        <w:rPr>
          <w:rFonts w:ascii="Times New Roman" w:hAnsi="Times New Roman" w:cs="Times New Roman"/>
          <w:sz w:val="22"/>
          <w:szCs w:val="22"/>
        </w:rPr>
      </w:pPr>
    </w:p>
    <w:p w14:paraId="4F26F250" w14:textId="4ED1B2F2" w:rsidR="00FC046A" w:rsidRPr="00581AEA" w:rsidRDefault="00FC046A" w:rsidP="00581AEA">
      <w:pPr>
        <w:pStyle w:val="EndnoteText"/>
        <w:rPr>
          <w:rFonts w:ascii="Times New Roman" w:hAnsi="Times New Roman" w:cs="Times New Roman"/>
          <w:sz w:val="22"/>
          <w:szCs w:val="22"/>
        </w:rPr>
      </w:pPr>
      <w:r w:rsidRPr="00581AEA">
        <w:rPr>
          <w:rFonts w:ascii="Times New Roman" w:hAnsi="Times New Roman" w:cs="Times New Roman"/>
          <w:sz w:val="22"/>
          <w:szCs w:val="22"/>
        </w:rPr>
        <w:t>Under the terms of the coinsurance contracts themselves, which were in evidence</w:t>
      </w:r>
      <w:r>
        <w:rPr>
          <w:rFonts w:ascii="Times New Roman" w:hAnsi="Times New Roman" w:cs="Times New Roman"/>
          <w:sz w:val="22"/>
          <w:szCs w:val="22"/>
        </w:rPr>
        <w:t xml:space="preserve"> for each year at issue (See Exhibit 52-J for 2008, Exhibit 72-J for 2009, and Exhibit 87-J for 2010)</w:t>
      </w:r>
      <w:r w:rsidRPr="00581AEA">
        <w:rPr>
          <w:rFonts w:ascii="Times New Roman" w:hAnsi="Times New Roman" w:cs="Times New Roman"/>
          <w:sz w:val="22"/>
          <w:szCs w:val="22"/>
        </w:rPr>
        <w:t xml:space="preserve">, Reserve agreed to assume a portion of the liability and premiums that was assumed from an unrelated company, CreditRe Reassurance Corp., with respect to contractual liability coverages that originated with Lyndon,  a publicly-held insurer.  The uncontroverted testimony of Gary Fagg, an actuary who was closely involved with negotiating and administering this entire reinsurance arrangement for </w:t>
      </w:r>
      <w:r>
        <w:rPr>
          <w:rFonts w:ascii="Times New Roman" w:hAnsi="Times New Roman" w:cs="Times New Roman"/>
          <w:sz w:val="22"/>
          <w:szCs w:val="22"/>
        </w:rPr>
        <w:t xml:space="preserve">the years at issue, </w:t>
      </w:r>
      <w:r w:rsidRPr="00581AEA">
        <w:rPr>
          <w:rFonts w:ascii="Times New Roman" w:hAnsi="Times New Roman" w:cs="Times New Roman"/>
          <w:sz w:val="22"/>
          <w:szCs w:val="22"/>
        </w:rPr>
        <w:t xml:space="preserve">established the existence of these coinsurance contracts and the specifics of the reinsurance arrangement for each year at issue.  See testimony of Gary Fagg, </w:t>
      </w:r>
      <w:r>
        <w:rPr>
          <w:rFonts w:ascii="Times New Roman" w:hAnsi="Times New Roman" w:cs="Times New Roman"/>
          <w:sz w:val="22"/>
          <w:szCs w:val="22"/>
        </w:rPr>
        <w:t>Tr.</w:t>
      </w:r>
      <w:r w:rsidRPr="00581AEA">
        <w:rPr>
          <w:rFonts w:ascii="Times New Roman" w:hAnsi="Times New Roman" w:cs="Times New Roman"/>
          <w:sz w:val="22"/>
          <w:szCs w:val="22"/>
        </w:rPr>
        <w:t xml:space="preserve"> at 442-447 and Exhibit 52-J (Credit Insurance Coinsurance Contract Issued to PoolRe Insurance Corp. by Reserve CC effective November 26, 2008).  Despite the uncontroverted testimony, the Court stated otherwise in </w:t>
      </w:r>
      <w:r>
        <w:rPr>
          <w:rFonts w:ascii="Times New Roman" w:hAnsi="Times New Roman" w:cs="Times New Roman"/>
          <w:sz w:val="22"/>
          <w:szCs w:val="22"/>
        </w:rPr>
        <w:t xml:space="preserve">its </w:t>
      </w:r>
      <w:r w:rsidRPr="00581AEA">
        <w:rPr>
          <w:rFonts w:ascii="Times New Roman" w:hAnsi="Times New Roman" w:cs="Times New Roman"/>
          <w:sz w:val="22"/>
          <w:szCs w:val="22"/>
        </w:rPr>
        <w:t>Opinion without analysis or citation.</w:t>
      </w:r>
    </w:p>
    <w:p w14:paraId="23C18DFE" w14:textId="77777777" w:rsidR="00FC046A" w:rsidRPr="00581AEA" w:rsidRDefault="00FC046A">
      <w:pPr>
        <w:pStyle w:val="EndnoteText"/>
        <w:rPr>
          <w:rFonts w:ascii="Times New Roman" w:hAnsi="Times New Roman" w:cs="Times New Roman"/>
          <w:sz w:val="22"/>
          <w:szCs w:val="22"/>
        </w:rPr>
      </w:pPr>
    </w:p>
  </w:endnote>
  <w:endnote w:id="49">
    <w:p w14:paraId="3C19A9F3" w14:textId="207154D6" w:rsidR="00FC046A" w:rsidRPr="005379FF" w:rsidRDefault="00FC046A" w:rsidP="00D17F94">
      <w:pPr>
        <w:pStyle w:val="EndnoteText"/>
        <w:rPr>
          <w:rFonts w:ascii="Times New Roman" w:hAnsi="Times New Roman" w:cs="Times New Roman"/>
          <w:sz w:val="22"/>
          <w:szCs w:val="22"/>
        </w:rPr>
      </w:pPr>
      <w:r w:rsidRPr="00E37694">
        <w:rPr>
          <w:rStyle w:val="EndnoteReference"/>
          <w:rFonts w:ascii="Times New Roman" w:hAnsi="Times New Roman" w:cs="Times New Roman"/>
          <w:sz w:val="22"/>
          <w:szCs w:val="22"/>
        </w:rPr>
        <w:endnoteRef/>
      </w:r>
      <w:r w:rsidRPr="00E37694">
        <w:rPr>
          <w:rFonts w:ascii="Times New Roman" w:hAnsi="Times New Roman" w:cs="Times New Roman"/>
          <w:sz w:val="22"/>
          <w:szCs w:val="22"/>
        </w:rPr>
        <w:t xml:space="preserve"> </w:t>
      </w:r>
      <w:r>
        <w:rPr>
          <w:rFonts w:ascii="Times New Roman" w:hAnsi="Times New Roman" w:cs="Times New Roman"/>
          <w:sz w:val="22"/>
          <w:szCs w:val="22"/>
        </w:rPr>
        <w:t xml:space="preserve">The government’s opening statement characterized Reserve as a “tax shelter” from the outset.  The government’s opening statement began as follows: </w:t>
      </w:r>
      <w:r w:rsidRPr="00E37694">
        <w:rPr>
          <w:rFonts w:ascii="Times New Roman" w:hAnsi="Times New Roman" w:cs="Times New Roman"/>
          <w:sz w:val="22"/>
          <w:szCs w:val="22"/>
        </w:rPr>
        <w:t xml:space="preserve">“Your Honor, this is about Petitioner's owners, Norman Zumbaum and Corey Weikel, </w:t>
      </w:r>
      <w:r w:rsidRPr="00E120C8">
        <w:rPr>
          <w:rFonts w:ascii="Times New Roman" w:hAnsi="Times New Roman" w:cs="Times New Roman"/>
          <w:b/>
          <w:sz w:val="22"/>
          <w:szCs w:val="22"/>
        </w:rPr>
        <w:t>moving money from one pocket to another for the sole purpose of reducing their taxable income</w:t>
      </w:r>
      <w:r w:rsidRPr="00E37694">
        <w:rPr>
          <w:rFonts w:ascii="Times New Roman" w:hAnsi="Times New Roman" w:cs="Times New Roman"/>
          <w:sz w:val="22"/>
          <w:szCs w:val="22"/>
        </w:rPr>
        <w:t xml:space="preserve">. The evidence will show that each time Petitioner engaged in one of the alleged insurance transactions at issue, there was </w:t>
      </w:r>
      <w:r w:rsidRPr="00AF37C4">
        <w:rPr>
          <w:rFonts w:ascii="Times New Roman" w:hAnsi="Times New Roman" w:cs="Times New Roman"/>
          <w:b/>
          <w:sz w:val="22"/>
          <w:szCs w:val="22"/>
        </w:rPr>
        <w:t xml:space="preserve">no purpose behind it but for the </w:t>
      </w:r>
      <w:r w:rsidRPr="00F52003">
        <w:rPr>
          <w:rFonts w:ascii="Times New Roman" w:hAnsi="Times New Roman" w:cs="Times New Roman"/>
          <w:b/>
          <w:sz w:val="22"/>
          <w:szCs w:val="22"/>
        </w:rPr>
        <w:t xml:space="preserve">generation of tax-free </w:t>
      </w:r>
      <w:r w:rsidRPr="005379FF">
        <w:rPr>
          <w:rFonts w:ascii="Times New Roman" w:hAnsi="Times New Roman" w:cs="Times New Roman"/>
          <w:b/>
          <w:sz w:val="22"/>
          <w:szCs w:val="22"/>
        </w:rPr>
        <w:t>income by manipulating Section 501(c)(15) to create a corresponding tax benefit for its owners</w:t>
      </w:r>
      <w:r w:rsidRPr="005379FF">
        <w:rPr>
          <w:rFonts w:ascii="Times New Roman" w:hAnsi="Times New Roman" w:cs="Times New Roman"/>
          <w:sz w:val="22"/>
          <w:szCs w:val="22"/>
        </w:rPr>
        <w:t xml:space="preserve">.”  (Emphasis added).  See </w:t>
      </w:r>
      <w:r>
        <w:rPr>
          <w:rFonts w:ascii="Times New Roman" w:hAnsi="Times New Roman" w:cs="Times New Roman"/>
          <w:sz w:val="22"/>
          <w:szCs w:val="22"/>
        </w:rPr>
        <w:t>Tr.</w:t>
      </w:r>
      <w:r w:rsidRPr="005379FF">
        <w:rPr>
          <w:rFonts w:ascii="Times New Roman" w:hAnsi="Times New Roman" w:cs="Times New Roman"/>
          <w:sz w:val="22"/>
          <w:szCs w:val="22"/>
        </w:rPr>
        <w:t xml:space="preserve"> at 13-14. </w:t>
      </w:r>
      <w:r>
        <w:rPr>
          <w:rFonts w:ascii="Times New Roman" w:hAnsi="Times New Roman" w:cs="Times New Roman"/>
          <w:sz w:val="22"/>
          <w:szCs w:val="22"/>
        </w:rPr>
        <w:t xml:space="preserve"> </w:t>
      </w:r>
      <w:r w:rsidRPr="005379FF">
        <w:rPr>
          <w:rFonts w:ascii="Times New Roman" w:hAnsi="Times New Roman" w:cs="Times New Roman"/>
          <w:sz w:val="22"/>
          <w:szCs w:val="22"/>
        </w:rPr>
        <w:t xml:space="preserve">However, </w:t>
      </w:r>
      <w:r>
        <w:rPr>
          <w:rFonts w:ascii="Times New Roman" w:hAnsi="Times New Roman" w:cs="Times New Roman"/>
          <w:sz w:val="22"/>
          <w:szCs w:val="22"/>
        </w:rPr>
        <w:t xml:space="preserve">failing to carry through its assertions in the opening statement, the government provided </w:t>
      </w:r>
      <w:r w:rsidRPr="005379FF">
        <w:rPr>
          <w:rFonts w:ascii="Times New Roman" w:hAnsi="Times New Roman" w:cs="Times New Roman"/>
          <w:sz w:val="22"/>
          <w:szCs w:val="22"/>
        </w:rPr>
        <w:t>no evidence to support the argument that Reserve’s insurance failed to serve a legitimate non-tax business purpose</w:t>
      </w:r>
      <w:r>
        <w:rPr>
          <w:rFonts w:ascii="Times New Roman" w:hAnsi="Times New Roman" w:cs="Times New Roman"/>
          <w:sz w:val="22"/>
          <w:szCs w:val="22"/>
        </w:rPr>
        <w:t xml:space="preserve"> of either Reserve or its insureds</w:t>
      </w:r>
      <w:r w:rsidRPr="005379FF">
        <w:rPr>
          <w:rFonts w:ascii="Times New Roman" w:hAnsi="Times New Roman" w:cs="Times New Roman"/>
          <w:sz w:val="22"/>
          <w:szCs w:val="22"/>
        </w:rPr>
        <w:t>.</w:t>
      </w:r>
    </w:p>
    <w:p w14:paraId="3F99A54C" w14:textId="77777777" w:rsidR="00FC046A" w:rsidRPr="005379FF" w:rsidRDefault="00FC046A" w:rsidP="00D17F94">
      <w:pPr>
        <w:pStyle w:val="EndnoteText"/>
        <w:rPr>
          <w:rFonts w:ascii="Times New Roman" w:hAnsi="Times New Roman" w:cs="Times New Roman"/>
          <w:sz w:val="22"/>
          <w:szCs w:val="22"/>
        </w:rPr>
      </w:pPr>
    </w:p>
  </w:endnote>
  <w:endnote w:id="50">
    <w:p w14:paraId="22E6CE32" w14:textId="7C39BA3F" w:rsidR="00FC046A" w:rsidRPr="0024453F" w:rsidRDefault="00FC046A">
      <w:pPr>
        <w:pStyle w:val="EndnoteText"/>
        <w:rPr>
          <w:rFonts w:ascii="Times New Roman" w:hAnsi="Times New Roman" w:cs="Times New Roman"/>
          <w:sz w:val="22"/>
          <w:szCs w:val="22"/>
        </w:rPr>
      </w:pPr>
      <w:r w:rsidRPr="0024453F">
        <w:rPr>
          <w:rStyle w:val="EndnoteReference"/>
          <w:rFonts w:ascii="Times New Roman" w:hAnsi="Times New Roman" w:cs="Times New Roman"/>
          <w:sz w:val="22"/>
          <w:szCs w:val="22"/>
        </w:rPr>
        <w:endnoteRef/>
      </w:r>
      <w:r w:rsidRPr="0024453F">
        <w:rPr>
          <w:rFonts w:ascii="Times New Roman" w:hAnsi="Times New Roman" w:cs="Times New Roman"/>
          <w:sz w:val="22"/>
          <w:szCs w:val="22"/>
        </w:rPr>
        <w:t xml:space="preserve"> </w:t>
      </w:r>
      <w:r>
        <w:rPr>
          <w:rFonts w:ascii="Times New Roman" w:hAnsi="Times New Roman" w:cs="Times New Roman"/>
          <w:sz w:val="22"/>
          <w:szCs w:val="22"/>
        </w:rPr>
        <w:t xml:space="preserve">See </w:t>
      </w:r>
      <w:r w:rsidRPr="0024453F">
        <w:rPr>
          <w:rFonts w:ascii="Times New Roman" w:hAnsi="Times New Roman" w:cs="Times New Roman"/>
          <w:i/>
          <w:sz w:val="22"/>
          <w:szCs w:val="22"/>
        </w:rPr>
        <w:t>Moline Properties, Inc. v. Commissioner</w:t>
      </w:r>
      <w:r w:rsidRPr="0024453F">
        <w:rPr>
          <w:rFonts w:ascii="Times New Roman" w:hAnsi="Times New Roman" w:cs="Times New Roman"/>
          <w:sz w:val="22"/>
          <w:szCs w:val="22"/>
        </w:rPr>
        <w:t>, 319 U.S. 436</w:t>
      </w:r>
      <w:r>
        <w:rPr>
          <w:rFonts w:ascii="Times New Roman" w:hAnsi="Times New Roman" w:cs="Times New Roman"/>
          <w:sz w:val="22"/>
          <w:szCs w:val="22"/>
        </w:rPr>
        <w:t xml:space="preserve"> </w:t>
      </w:r>
      <w:r w:rsidRPr="0024453F">
        <w:rPr>
          <w:rFonts w:ascii="Times New Roman" w:hAnsi="Times New Roman" w:cs="Times New Roman"/>
          <w:sz w:val="22"/>
          <w:szCs w:val="22"/>
        </w:rPr>
        <w:t xml:space="preserve">(1943), </w:t>
      </w:r>
      <w:r>
        <w:rPr>
          <w:rFonts w:ascii="Times New Roman" w:hAnsi="Times New Roman" w:cs="Times New Roman"/>
          <w:sz w:val="22"/>
          <w:szCs w:val="22"/>
        </w:rPr>
        <w:t xml:space="preserve">which </w:t>
      </w:r>
      <w:r w:rsidRPr="0024453F">
        <w:rPr>
          <w:rFonts w:ascii="Times New Roman" w:hAnsi="Times New Roman" w:cs="Times New Roman"/>
          <w:sz w:val="22"/>
          <w:szCs w:val="22"/>
        </w:rPr>
        <w:t xml:space="preserve">established that a taxpayer’s decision to create separate corporations to conduct its business will be respected for tax purposes so long as the </w:t>
      </w:r>
      <w:r>
        <w:rPr>
          <w:rFonts w:ascii="Times New Roman" w:hAnsi="Times New Roman" w:cs="Times New Roman"/>
          <w:sz w:val="22"/>
          <w:szCs w:val="22"/>
        </w:rPr>
        <w:t xml:space="preserve">separate </w:t>
      </w:r>
      <w:r w:rsidRPr="0024453F">
        <w:rPr>
          <w:rFonts w:ascii="Times New Roman" w:hAnsi="Times New Roman" w:cs="Times New Roman"/>
          <w:sz w:val="22"/>
          <w:szCs w:val="22"/>
        </w:rPr>
        <w:t>corporations carry on real business activity</w:t>
      </w:r>
      <w:r>
        <w:rPr>
          <w:rFonts w:ascii="Times New Roman" w:hAnsi="Times New Roman" w:cs="Times New Roman"/>
          <w:sz w:val="22"/>
          <w:szCs w:val="22"/>
        </w:rPr>
        <w:t>.</w:t>
      </w:r>
    </w:p>
    <w:p w14:paraId="1508ECDE" w14:textId="77777777" w:rsidR="00FC046A" w:rsidRPr="0024453F" w:rsidRDefault="00FC046A">
      <w:pPr>
        <w:pStyle w:val="EndnoteText"/>
        <w:rPr>
          <w:rFonts w:ascii="Times New Roman" w:hAnsi="Times New Roman" w:cs="Times New Roman"/>
          <w:sz w:val="22"/>
          <w:szCs w:val="22"/>
        </w:rPr>
      </w:pPr>
    </w:p>
  </w:endnote>
  <w:endnote w:id="51">
    <w:p w14:paraId="3C4876AF" w14:textId="7510C6C9" w:rsidR="00FC046A" w:rsidRPr="00167AFC" w:rsidRDefault="00FC046A">
      <w:pPr>
        <w:pStyle w:val="EndnoteText"/>
        <w:rPr>
          <w:rFonts w:ascii="Times New Roman" w:hAnsi="Times New Roman" w:cs="Times New Roman"/>
          <w:sz w:val="22"/>
          <w:szCs w:val="22"/>
        </w:rPr>
      </w:pPr>
      <w:r w:rsidRPr="00167AFC">
        <w:rPr>
          <w:rStyle w:val="EndnoteReference"/>
          <w:rFonts w:ascii="Times New Roman" w:hAnsi="Times New Roman" w:cs="Times New Roman"/>
          <w:sz w:val="22"/>
          <w:szCs w:val="22"/>
        </w:rPr>
        <w:endnoteRef/>
      </w:r>
      <w:r w:rsidRPr="00167AFC">
        <w:rPr>
          <w:rFonts w:ascii="Times New Roman" w:hAnsi="Times New Roman" w:cs="Times New Roman"/>
          <w:sz w:val="22"/>
          <w:szCs w:val="22"/>
        </w:rPr>
        <w:t xml:space="preserve"> </w:t>
      </w:r>
      <w:r>
        <w:rPr>
          <w:rFonts w:ascii="Times New Roman" w:hAnsi="Times New Roman" w:cs="Times New Roman"/>
          <w:sz w:val="22"/>
          <w:szCs w:val="22"/>
        </w:rPr>
        <w:t xml:space="preserve">Congress imposed no limitation on an insured’s ownership under Section 501(c)(15).  Contrary to the government’s unsupportable argument as to Section 501(c)(15), </w:t>
      </w:r>
      <w:r w:rsidRPr="00B5734E">
        <w:rPr>
          <w:rFonts w:ascii="Times New Roman" w:hAnsi="Times New Roman" w:cs="Times New Roman"/>
          <w:sz w:val="22"/>
          <w:szCs w:val="22"/>
        </w:rPr>
        <w:t xml:space="preserve">Congress </w:t>
      </w:r>
      <w:r>
        <w:rPr>
          <w:rFonts w:ascii="Times New Roman" w:hAnsi="Times New Roman" w:cs="Times New Roman"/>
          <w:sz w:val="22"/>
          <w:szCs w:val="22"/>
        </w:rPr>
        <w:t xml:space="preserve">not only </w:t>
      </w:r>
      <w:r w:rsidRPr="00B5734E">
        <w:rPr>
          <w:rFonts w:ascii="Times New Roman" w:hAnsi="Times New Roman" w:cs="Times New Roman"/>
          <w:sz w:val="22"/>
          <w:szCs w:val="22"/>
        </w:rPr>
        <w:t>expected</w:t>
      </w:r>
      <w:r>
        <w:rPr>
          <w:rFonts w:ascii="Times New Roman" w:hAnsi="Times New Roman" w:cs="Times New Roman"/>
          <w:sz w:val="22"/>
          <w:szCs w:val="22"/>
        </w:rPr>
        <w:t>, but (</w:t>
      </w:r>
      <w:r w:rsidRPr="00B5734E">
        <w:rPr>
          <w:rFonts w:ascii="Times New Roman" w:hAnsi="Times New Roman" w:cs="Times New Roman"/>
          <w:sz w:val="22"/>
          <w:szCs w:val="22"/>
        </w:rPr>
        <w:t>practically speaking</w:t>
      </w:r>
      <w:r>
        <w:rPr>
          <w:rFonts w:ascii="Times New Roman" w:hAnsi="Times New Roman" w:cs="Times New Roman"/>
          <w:sz w:val="22"/>
          <w:szCs w:val="22"/>
        </w:rPr>
        <w:t>)</w:t>
      </w:r>
      <w:r w:rsidRPr="00B5734E">
        <w:rPr>
          <w:rFonts w:ascii="Times New Roman" w:hAnsi="Times New Roman" w:cs="Times New Roman"/>
          <w:sz w:val="22"/>
          <w:szCs w:val="22"/>
        </w:rPr>
        <w:t xml:space="preserve"> mandated that the insureds and the insurer be related </w:t>
      </w:r>
      <w:r>
        <w:rPr>
          <w:rFonts w:ascii="Times New Roman" w:hAnsi="Times New Roman" w:cs="Times New Roman"/>
          <w:sz w:val="22"/>
          <w:szCs w:val="22"/>
        </w:rPr>
        <w:t xml:space="preserve">when operating </w:t>
      </w:r>
      <w:r w:rsidRPr="00B5734E">
        <w:rPr>
          <w:rFonts w:ascii="Times New Roman" w:hAnsi="Times New Roman" w:cs="Times New Roman"/>
          <w:sz w:val="22"/>
          <w:szCs w:val="22"/>
        </w:rPr>
        <w:t>under Section 831(b)</w:t>
      </w:r>
      <w:r>
        <w:rPr>
          <w:rFonts w:ascii="Times New Roman" w:hAnsi="Times New Roman" w:cs="Times New Roman"/>
          <w:sz w:val="22"/>
          <w:szCs w:val="22"/>
        </w:rPr>
        <w:t xml:space="preserve">, which </w:t>
      </w:r>
      <w:r w:rsidRPr="00052345">
        <w:rPr>
          <w:rFonts w:ascii="Times New Roman" w:hAnsi="Times New Roman" w:cs="Times New Roman"/>
          <w:sz w:val="22"/>
          <w:szCs w:val="22"/>
        </w:rPr>
        <w:t xml:space="preserve">was </w:t>
      </w:r>
      <w:r>
        <w:rPr>
          <w:rFonts w:ascii="Times New Roman" w:hAnsi="Times New Roman" w:cs="Times New Roman"/>
          <w:sz w:val="22"/>
          <w:szCs w:val="22"/>
        </w:rPr>
        <w:t xml:space="preserve">amended </w:t>
      </w:r>
      <w:r w:rsidRPr="00052345">
        <w:rPr>
          <w:rFonts w:ascii="Times New Roman" w:hAnsi="Times New Roman" w:cs="Times New Roman"/>
          <w:sz w:val="22"/>
          <w:szCs w:val="22"/>
        </w:rPr>
        <w:t>by the Consolidated Appropriations Act of 2015, also known more commonly as the Protecting Americans From Tax Hikes Act (the “PATH” Act)</w:t>
      </w:r>
      <w:r>
        <w:rPr>
          <w:rFonts w:ascii="Times New Roman" w:hAnsi="Times New Roman" w:cs="Times New Roman"/>
          <w:sz w:val="22"/>
          <w:szCs w:val="22"/>
        </w:rPr>
        <w:t xml:space="preserve">, </w:t>
      </w:r>
      <w:r w:rsidRPr="00052345">
        <w:rPr>
          <w:rFonts w:ascii="Times New Roman" w:hAnsi="Times New Roman" w:cs="Times New Roman"/>
          <w:sz w:val="22"/>
          <w:szCs w:val="22"/>
        </w:rPr>
        <w:t xml:space="preserve">effective for tax years beginning after December 31, 2016.  The PATH Act added a new “diversification requirement” that </w:t>
      </w:r>
      <w:r>
        <w:rPr>
          <w:rFonts w:ascii="Times New Roman" w:hAnsi="Times New Roman" w:cs="Times New Roman"/>
          <w:sz w:val="22"/>
          <w:szCs w:val="22"/>
        </w:rPr>
        <w:t xml:space="preserve">must be satisfied by </w:t>
      </w:r>
      <w:r w:rsidRPr="00052345">
        <w:rPr>
          <w:rFonts w:ascii="Times New Roman" w:hAnsi="Times New Roman" w:cs="Times New Roman"/>
          <w:sz w:val="22"/>
          <w:szCs w:val="22"/>
        </w:rPr>
        <w:t>a captive operating under IRC §831(b).  Th</w:t>
      </w:r>
      <w:r>
        <w:rPr>
          <w:rFonts w:ascii="Times New Roman" w:hAnsi="Times New Roman" w:cs="Times New Roman"/>
          <w:sz w:val="22"/>
          <w:szCs w:val="22"/>
        </w:rPr>
        <w:t>is</w:t>
      </w:r>
      <w:r w:rsidRPr="00052345">
        <w:rPr>
          <w:rFonts w:ascii="Times New Roman" w:hAnsi="Times New Roman" w:cs="Times New Roman"/>
          <w:sz w:val="22"/>
          <w:szCs w:val="22"/>
        </w:rPr>
        <w:t xml:space="preserve"> </w:t>
      </w:r>
      <w:r>
        <w:rPr>
          <w:rFonts w:ascii="Times New Roman" w:hAnsi="Times New Roman" w:cs="Times New Roman"/>
          <w:sz w:val="22"/>
          <w:szCs w:val="22"/>
        </w:rPr>
        <w:t>“</w:t>
      </w:r>
      <w:r w:rsidRPr="00052345">
        <w:rPr>
          <w:rFonts w:ascii="Times New Roman" w:hAnsi="Times New Roman" w:cs="Times New Roman"/>
          <w:sz w:val="22"/>
          <w:szCs w:val="22"/>
        </w:rPr>
        <w:t>diversification requirement</w:t>
      </w:r>
      <w:r>
        <w:rPr>
          <w:rFonts w:ascii="Times New Roman" w:hAnsi="Times New Roman" w:cs="Times New Roman"/>
          <w:sz w:val="22"/>
          <w:szCs w:val="22"/>
        </w:rPr>
        <w:t>”</w:t>
      </w:r>
      <w:r w:rsidRPr="00052345">
        <w:rPr>
          <w:rFonts w:ascii="Times New Roman" w:hAnsi="Times New Roman" w:cs="Times New Roman"/>
          <w:sz w:val="22"/>
          <w:szCs w:val="22"/>
        </w:rPr>
        <w:t xml:space="preserve"> can be met by a captive satisfying one of two alternative tests</w:t>
      </w:r>
      <w:r>
        <w:rPr>
          <w:rFonts w:ascii="Times New Roman" w:hAnsi="Times New Roman" w:cs="Times New Roman"/>
          <w:sz w:val="22"/>
          <w:szCs w:val="22"/>
        </w:rPr>
        <w:t xml:space="preserve">, with the </w:t>
      </w:r>
      <w:r w:rsidRPr="00052345">
        <w:rPr>
          <w:rFonts w:ascii="Times New Roman" w:hAnsi="Times New Roman" w:cs="Times New Roman"/>
          <w:sz w:val="22"/>
          <w:szCs w:val="22"/>
        </w:rPr>
        <w:t>second test for satisfying this diversification requirement essentially requir</w:t>
      </w:r>
      <w:r>
        <w:rPr>
          <w:rFonts w:ascii="Times New Roman" w:hAnsi="Times New Roman" w:cs="Times New Roman"/>
          <w:sz w:val="22"/>
          <w:szCs w:val="22"/>
        </w:rPr>
        <w:t xml:space="preserve">ing mirror </w:t>
      </w:r>
      <w:r w:rsidRPr="00052345">
        <w:rPr>
          <w:rFonts w:ascii="Times New Roman" w:hAnsi="Times New Roman" w:cs="Times New Roman"/>
          <w:sz w:val="22"/>
          <w:szCs w:val="22"/>
        </w:rPr>
        <w:t xml:space="preserve">ownership of </w:t>
      </w:r>
      <w:r>
        <w:rPr>
          <w:rFonts w:ascii="Times New Roman" w:hAnsi="Times New Roman" w:cs="Times New Roman"/>
          <w:sz w:val="22"/>
          <w:szCs w:val="22"/>
        </w:rPr>
        <w:t xml:space="preserve">the </w:t>
      </w:r>
      <w:r w:rsidRPr="00052345">
        <w:rPr>
          <w:rFonts w:ascii="Times New Roman" w:hAnsi="Times New Roman" w:cs="Times New Roman"/>
          <w:sz w:val="22"/>
          <w:szCs w:val="22"/>
        </w:rPr>
        <w:t>insured</w:t>
      </w:r>
      <w:r>
        <w:rPr>
          <w:rFonts w:ascii="Times New Roman" w:hAnsi="Times New Roman" w:cs="Times New Roman"/>
          <w:sz w:val="22"/>
          <w:szCs w:val="22"/>
        </w:rPr>
        <w:t>s</w:t>
      </w:r>
      <w:r w:rsidRPr="00052345">
        <w:rPr>
          <w:rFonts w:ascii="Times New Roman" w:hAnsi="Times New Roman" w:cs="Times New Roman"/>
          <w:sz w:val="22"/>
          <w:szCs w:val="22"/>
        </w:rPr>
        <w:t xml:space="preserve"> (within a 2% de minimis margin) </w:t>
      </w:r>
      <w:r>
        <w:rPr>
          <w:rFonts w:ascii="Times New Roman" w:hAnsi="Times New Roman" w:cs="Times New Roman"/>
          <w:sz w:val="22"/>
          <w:szCs w:val="22"/>
        </w:rPr>
        <w:t xml:space="preserve">with that </w:t>
      </w:r>
      <w:r w:rsidRPr="00052345">
        <w:rPr>
          <w:rFonts w:ascii="Times New Roman" w:hAnsi="Times New Roman" w:cs="Times New Roman"/>
          <w:sz w:val="22"/>
          <w:szCs w:val="22"/>
        </w:rPr>
        <w:t>of the insur</w:t>
      </w:r>
      <w:r>
        <w:rPr>
          <w:rFonts w:ascii="Times New Roman" w:hAnsi="Times New Roman" w:cs="Times New Roman"/>
          <w:sz w:val="22"/>
          <w:szCs w:val="22"/>
        </w:rPr>
        <w:t xml:space="preserve">er.  </w:t>
      </w:r>
      <w:r w:rsidRPr="00052345">
        <w:rPr>
          <w:rFonts w:ascii="Times New Roman" w:hAnsi="Times New Roman" w:cs="Times New Roman"/>
          <w:sz w:val="22"/>
          <w:szCs w:val="22"/>
        </w:rPr>
        <w:t xml:space="preserve">Congress added this provision to prevent a captive’s ownership structure from being used as an estate planning vehicle to have the effect of transferring wealth from the company’s owners to their descendants without paying estate taxes.  The addition of this diversification requirement in the PATH Act evidences that Congress expected the insureds and the insurer to be related </w:t>
      </w:r>
      <w:r>
        <w:rPr>
          <w:rFonts w:ascii="Times New Roman" w:hAnsi="Times New Roman" w:cs="Times New Roman"/>
          <w:sz w:val="22"/>
          <w:szCs w:val="22"/>
        </w:rPr>
        <w:t xml:space="preserve">when </w:t>
      </w:r>
      <w:r w:rsidRPr="00052345">
        <w:rPr>
          <w:rFonts w:ascii="Times New Roman" w:hAnsi="Times New Roman" w:cs="Times New Roman"/>
          <w:sz w:val="22"/>
          <w:szCs w:val="22"/>
        </w:rPr>
        <w:t>operating under IRC §831(b).</w:t>
      </w:r>
    </w:p>
    <w:p w14:paraId="12668386" w14:textId="77777777" w:rsidR="00FC046A" w:rsidRPr="00167AFC" w:rsidRDefault="00FC046A">
      <w:pPr>
        <w:pStyle w:val="EndnoteText"/>
        <w:rPr>
          <w:rFonts w:ascii="Times New Roman" w:hAnsi="Times New Roman" w:cs="Times New Roman"/>
          <w:sz w:val="22"/>
          <w:szCs w:val="22"/>
        </w:rPr>
      </w:pPr>
    </w:p>
  </w:endnote>
  <w:endnote w:id="52">
    <w:p w14:paraId="7787288D" w14:textId="6644E2B7" w:rsidR="00FC046A" w:rsidRPr="00C86E33" w:rsidRDefault="00FC046A" w:rsidP="007C0509">
      <w:pPr>
        <w:autoSpaceDE w:val="0"/>
        <w:autoSpaceDN w:val="0"/>
        <w:adjustRightInd w:val="0"/>
        <w:spacing w:after="0" w:line="240" w:lineRule="auto"/>
        <w:rPr>
          <w:rFonts w:ascii="Times New Roman" w:hAnsi="Times New Roman" w:cs="Times New Roman"/>
          <w:color w:val="000000" w:themeColor="text1"/>
        </w:rPr>
      </w:pPr>
      <w:r>
        <w:rPr>
          <w:rStyle w:val="EndnoteReference"/>
        </w:rPr>
        <w:endnoteRef/>
      </w:r>
      <w:r>
        <w:t xml:space="preserve"> </w:t>
      </w:r>
      <w:r w:rsidRPr="00B90E09">
        <w:rPr>
          <w:rFonts w:ascii="Times New Roman" w:hAnsi="Times New Roman" w:cs="Times New Roman"/>
        </w:rPr>
        <w:t>Th</w:t>
      </w:r>
      <w:r>
        <w:rPr>
          <w:rFonts w:ascii="Times New Roman" w:hAnsi="Times New Roman" w:cs="Times New Roman"/>
        </w:rPr>
        <w:t>e</w:t>
      </w:r>
      <w:r w:rsidRPr="00B90E09">
        <w:rPr>
          <w:rFonts w:ascii="Times New Roman" w:hAnsi="Times New Roman" w:cs="Times New Roman"/>
        </w:rPr>
        <w:t xml:space="preserve"> Court’s limited analysis in </w:t>
      </w:r>
      <w:r w:rsidRPr="003A21F9">
        <w:rPr>
          <w:rFonts w:ascii="Times New Roman" w:hAnsi="Times New Roman" w:cs="Times New Roman"/>
          <w:i/>
        </w:rPr>
        <w:t>Reserve</w:t>
      </w:r>
      <w:r w:rsidRPr="00B90E09">
        <w:rPr>
          <w:rFonts w:ascii="Times New Roman" w:hAnsi="Times New Roman" w:cs="Times New Roman"/>
        </w:rPr>
        <w:t xml:space="preserve"> focused on what it thought the law </w:t>
      </w:r>
      <w:r w:rsidRPr="001918CA">
        <w:rPr>
          <w:rFonts w:ascii="Times New Roman" w:hAnsi="Times New Roman" w:cs="Times New Roman"/>
          <w:b/>
          <w:i/>
        </w:rPr>
        <w:t>should be</w:t>
      </w:r>
      <w:r w:rsidRPr="00B90E09">
        <w:rPr>
          <w:rFonts w:ascii="Times New Roman" w:hAnsi="Times New Roman" w:cs="Times New Roman"/>
        </w:rPr>
        <w:t xml:space="preserve"> – putting itself into a legislative role – despite the taxpayers’ compliance with the substance and form of what has been set out by Congress in legislation and what over decades has been interpreted by the courts.  Appellate courts have recently made clear to this same Court that its role is not to block Congress’ legislation </w:t>
      </w:r>
      <w:r>
        <w:rPr>
          <w:rFonts w:ascii="Times New Roman" w:hAnsi="Times New Roman" w:cs="Times New Roman"/>
        </w:rPr>
        <w:t xml:space="preserve">facilitating </w:t>
      </w:r>
      <w:r w:rsidRPr="00B90E09">
        <w:rPr>
          <w:rFonts w:ascii="Times New Roman" w:hAnsi="Times New Roman" w:cs="Times New Roman"/>
        </w:rPr>
        <w:t>a taxpayer qualify</w:t>
      </w:r>
      <w:r>
        <w:rPr>
          <w:rFonts w:ascii="Times New Roman" w:hAnsi="Times New Roman" w:cs="Times New Roman"/>
        </w:rPr>
        <w:t>ing</w:t>
      </w:r>
      <w:r w:rsidRPr="00B90E09">
        <w:rPr>
          <w:rFonts w:ascii="Times New Roman" w:hAnsi="Times New Roman" w:cs="Times New Roman"/>
        </w:rPr>
        <w:t xml:space="preserve"> for tax benefits </w:t>
      </w:r>
      <w:r>
        <w:rPr>
          <w:rFonts w:ascii="Times New Roman" w:hAnsi="Times New Roman" w:cs="Times New Roman"/>
        </w:rPr>
        <w:t xml:space="preserve">by </w:t>
      </w:r>
      <w:r w:rsidRPr="00B90E09">
        <w:rPr>
          <w:rFonts w:ascii="Times New Roman" w:hAnsi="Times New Roman" w:cs="Times New Roman"/>
        </w:rPr>
        <w:t xml:space="preserve">satisfying the precise requirements of the Internal Revenue Code.  </w:t>
      </w:r>
      <w:r>
        <w:rPr>
          <w:rFonts w:ascii="Times New Roman" w:hAnsi="Times New Roman" w:cs="Times New Roman"/>
        </w:rPr>
        <w:t xml:space="preserve">See </w:t>
      </w:r>
      <w:r w:rsidRPr="00050AB8">
        <w:rPr>
          <w:rFonts w:ascii="Times New Roman" w:hAnsi="Times New Roman" w:cs="Times New Roman"/>
          <w:i/>
        </w:rPr>
        <w:t>Summa Holdings Inc. v. Commissioner</w:t>
      </w:r>
      <w:r w:rsidRPr="00B90E09">
        <w:rPr>
          <w:rFonts w:ascii="Times New Roman" w:hAnsi="Times New Roman" w:cs="Times New Roman"/>
        </w:rPr>
        <w:t>,</w:t>
      </w:r>
      <w:r>
        <w:rPr>
          <w:rFonts w:ascii="Times New Roman" w:hAnsi="Times New Roman" w:cs="Times New Roman"/>
        </w:rPr>
        <w:t xml:space="preserve"> </w:t>
      </w:r>
      <w:r w:rsidRPr="009E2DA8">
        <w:rPr>
          <w:rFonts w:ascii="Times New Roman" w:hAnsi="Times New Roman" w:cs="Times New Roman"/>
        </w:rPr>
        <w:t xml:space="preserve">848 F.3d 779 (6th Cir. </w:t>
      </w:r>
      <w:r w:rsidRPr="00B42E2A">
        <w:rPr>
          <w:rFonts w:ascii="Times New Roman" w:hAnsi="Times New Roman" w:cs="Times New Roman"/>
        </w:rPr>
        <w:t xml:space="preserve">2017), where the Sixth Circuit reversed the tax court and held that the taxpayers in </w:t>
      </w:r>
      <w:r w:rsidRPr="00B42E2A">
        <w:rPr>
          <w:rFonts w:ascii="Times New Roman" w:hAnsi="Times New Roman" w:cs="Times New Roman"/>
          <w:i/>
        </w:rPr>
        <w:t>Summa</w:t>
      </w:r>
      <w:r w:rsidRPr="00B42E2A">
        <w:rPr>
          <w:rFonts w:ascii="Times New Roman" w:hAnsi="Times New Roman" w:cs="Times New Roman"/>
        </w:rPr>
        <w:t xml:space="preserve"> were entitled to use a congressionally created corporation to transfer money from their family-owned company to their sons’ Roth Individual Retirement Accounts (IRAs).  </w:t>
      </w:r>
      <w:r>
        <w:rPr>
          <w:rFonts w:ascii="Times New Roman" w:hAnsi="Times New Roman" w:cs="Times New Roman"/>
          <w:color w:val="000000" w:themeColor="text1"/>
        </w:rPr>
        <w:t>See also</w:t>
      </w:r>
      <w:r w:rsidRPr="00B42E2A">
        <w:rPr>
          <w:rFonts w:ascii="Times New Roman" w:hAnsi="Times New Roman" w:cs="Times New Roman"/>
          <w:color w:val="000000" w:themeColor="text1"/>
        </w:rPr>
        <w:t xml:space="preserve"> the related case</w:t>
      </w:r>
      <w:r>
        <w:rPr>
          <w:rFonts w:ascii="Times New Roman" w:hAnsi="Times New Roman" w:cs="Times New Roman"/>
          <w:color w:val="000000" w:themeColor="text1"/>
        </w:rPr>
        <w:t>s</w:t>
      </w:r>
      <w:r w:rsidRPr="00B42E2A">
        <w:rPr>
          <w:rFonts w:ascii="Times New Roman" w:hAnsi="Times New Roman" w:cs="Times New Roman"/>
          <w:color w:val="000000" w:themeColor="text1"/>
        </w:rPr>
        <w:t xml:space="preserve"> of </w:t>
      </w:r>
      <w:r w:rsidRPr="00B42E2A">
        <w:rPr>
          <w:rFonts w:ascii="Times New Roman" w:hAnsi="Times New Roman" w:cs="Times New Roman"/>
          <w:i/>
          <w:color w:val="000000" w:themeColor="text1"/>
        </w:rPr>
        <w:t>Benenson v. Commissioner</w:t>
      </w:r>
      <w:r w:rsidRPr="00B42E2A">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0D65DD">
        <w:rPr>
          <w:rFonts w:ascii="Times New Roman" w:hAnsi="Times New Roman" w:cs="Times New Roman"/>
          <w:color w:val="000000" w:themeColor="text1"/>
        </w:rPr>
        <w:t>887 F.3d 511 (1st Cir. 2018)</w:t>
      </w:r>
      <w:r>
        <w:rPr>
          <w:rFonts w:ascii="Times New Roman" w:hAnsi="Times New Roman" w:cs="Times New Roman"/>
          <w:color w:val="000000" w:themeColor="text1"/>
        </w:rPr>
        <w:t xml:space="preserve"> and </w:t>
      </w:r>
      <w:r w:rsidRPr="00F85CBD">
        <w:rPr>
          <w:rFonts w:ascii="Times New Roman" w:hAnsi="Times New Roman" w:cs="Times New Roman"/>
          <w:i/>
          <w:color w:val="000000" w:themeColor="text1"/>
        </w:rPr>
        <w:t>Benenson v. Commissioner</w:t>
      </w:r>
      <w:r w:rsidRPr="006757B3">
        <w:rPr>
          <w:rFonts w:ascii="Times New Roman" w:hAnsi="Times New Roman" w:cs="Times New Roman"/>
          <w:color w:val="000000" w:themeColor="text1"/>
        </w:rPr>
        <w:t>, No. 16-2953 (2d Cir. 2018)</w:t>
      </w:r>
      <w:r>
        <w:rPr>
          <w:rFonts w:ascii="Times New Roman" w:hAnsi="Times New Roman" w:cs="Times New Roman"/>
          <w:color w:val="000000" w:themeColor="text1"/>
        </w:rPr>
        <w:t xml:space="preserve">, recently decided by the Second Circuit on December 14, 2018.  Both </w:t>
      </w:r>
      <w:r w:rsidRPr="001F629C">
        <w:rPr>
          <w:rFonts w:ascii="Times New Roman" w:hAnsi="Times New Roman" w:cs="Times New Roman"/>
          <w:i/>
          <w:color w:val="000000" w:themeColor="text1"/>
        </w:rPr>
        <w:t>Summa</w:t>
      </w:r>
      <w:r>
        <w:rPr>
          <w:rFonts w:ascii="Times New Roman" w:hAnsi="Times New Roman" w:cs="Times New Roman"/>
          <w:color w:val="000000" w:themeColor="text1"/>
        </w:rPr>
        <w:t xml:space="preserve"> and the two </w:t>
      </w:r>
      <w:r w:rsidRPr="001F629C">
        <w:rPr>
          <w:rFonts w:ascii="Times New Roman" w:hAnsi="Times New Roman" w:cs="Times New Roman"/>
          <w:i/>
          <w:color w:val="000000" w:themeColor="text1"/>
        </w:rPr>
        <w:t>Benenson</w:t>
      </w:r>
      <w:r>
        <w:rPr>
          <w:rFonts w:ascii="Times New Roman" w:hAnsi="Times New Roman" w:cs="Times New Roman"/>
          <w:color w:val="000000" w:themeColor="text1"/>
        </w:rPr>
        <w:t xml:space="preserve"> cases are discussed further beginning at page 8.</w:t>
      </w:r>
    </w:p>
    <w:p w14:paraId="0D4F364E" w14:textId="4C1C5F77" w:rsidR="00FC046A" w:rsidRDefault="00FC046A">
      <w:pPr>
        <w:pStyle w:val="EndnoteText"/>
      </w:pPr>
    </w:p>
  </w:endnote>
  <w:endnote w:id="53">
    <w:p w14:paraId="18C3DFF6" w14:textId="2046E20C" w:rsidR="00FC046A" w:rsidRDefault="00FC046A">
      <w:pPr>
        <w:pStyle w:val="EndnoteText"/>
        <w:rPr>
          <w:rFonts w:ascii="Times New Roman" w:hAnsi="Times New Roman" w:cs="Times New Roman"/>
          <w:sz w:val="22"/>
          <w:szCs w:val="22"/>
        </w:rPr>
      </w:pPr>
      <w:r w:rsidRPr="00260D02">
        <w:rPr>
          <w:rStyle w:val="EndnoteReference"/>
          <w:rFonts w:ascii="Times New Roman" w:hAnsi="Times New Roman" w:cs="Times New Roman"/>
          <w:sz w:val="22"/>
          <w:szCs w:val="22"/>
        </w:rPr>
        <w:endnoteRef/>
      </w:r>
      <w:r w:rsidRPr="00260D02">
        <w:rPr>
          <w:rFonts w:ascii="Times New Roman" w:hAnsi="Times New Roman" w:cs="Times New Roman"/>
          <w:sz w:val="22"/>
          <w:szCs w:val="22"/>
        </w:rPr>
        <w:t xml:space="preserve"> </w:t>
      </w:r>
      <w:r w:rsidRPr="008E1B85">
        <w:rPr>
          <w:rFonts w:ascii="Times New Roman" w:hAnsi="Times New Roman" w:cs="Times New Roman"/>
          <w:sz w:val="22"/>
          <w:szCs w:val="22"/>
        </w:rPr>
        <w:t xml:space="preserve">See Exhibit </w:t>
      </w:r>
      <w:r>
        <w:rPr>
          <w:rFonts w:ascii="Times New Roman" w:hAnsi="Times New Roman" w:cs="Times New Roman"/>
          <w:sz w:val="22"/>
          <w:szCs w:val="22"/>
        </w:rPr>
        <w:t>28</w:t>
      </w:r>
      <w:r w:rsidRPr="008E1B85">
        <w:rPr>
          <w:rFonts w:ascii="Times New Roman" w:hAnsi="Times New Roman" w:cs="Times New Roman"/>
          <w:sz w:val="22"/>
          <w:szCs w:val="22"/>
        </w:rPr>
        <w:t>-P (Reserve 20</w:t>
      </w:r>
      <w:r>
        <w:rPr>
          <w:rFonts w:ascii="Times New Roman" w:hAnsi="Times New Roman" w:cs="Times New Roman"/>
          <w:sz w:val="22"/>
          <w:szCs w:val="22"/>
        </w:rPr>
        <w:t>08</w:t>
      </w:r>
      <w:r w:rsidRPr="008E1B85">
        <w:rPr>
          <w:rFonts w:ascii="Times New Roman" w:hAnsi="Times New Roman" w:cs="Times New Roman"/>
          <w:sz w:val="22"/>
          <w:szCs w:val="22"/>
        </w:rPr>
        <w:t xml:space="preserve"> General Ledger), Account 50100 (Loss Expenses), reflecting $56,399.81 losses paid in 20</w:t>
      </w:r>
      <w:r>
        <w:rPr>
          <w:rFonts w:ascii="Times New Roman" w:hAnsi="Times New Roman" w:cs="Times New Roman"/>
          <w:sz w:val="22"/>
          <w:szCs w:val="22"/>
        </w:rPr>
        <w:t>08</w:t>
      </w:r>
      <w:r w:rsidRPr="008E1B85">
        <w:rPr>
          <w:rFonts w:ascii="Times New Roman" w:hAnsi="Times New Roman" w:cs="Times New Roman"/>
          <w:sz w:val="22"/>
          <w:szCs w:val="22"/>
        </w:rPr>
        <w:t xml:space="preserve"> in connection with “other reinsurance.”</w:t>
      </w:r>
    </w:p>
    <w:p w14:paraId="4A73A3AB" w14:textId="77777777" w:rsidR="00FC046A" w:rsidRDefault="00FC046A">
      <w:pPr>
        <w:pStyle w:val="EndnoteText"/>
        <w:rPr>
          <w:rFonts w:ascii="Times New Roman" w:hAnsi="Times New Roman" w:cs="Times New Roman"/>
          <w:sz w:val="22"/>
          <w:szCs w:val="22"/>
        </w:rPr>
      </w:pPr>
    </w:p>
    <w:p w14:paraId="61C7114B" w14:textId="4201309C" w:rsidR="00FC046A" w:rsidRDefault="00FC046A">
      <w:pPr>
        <w:pStyle w:val="EndnoteText"/>
        <w:rPr>
          <w:rFonts w:ascii="Times New Roman" w:hAnsi="Times New Roman" w:cs="Times New Roman"/>
          <w:sz w:val="22"/>
          <w:szCs w:val="22"/>
        </w:rPr>
      </w:pPr>
      <w:r w:rsidRPr="00E16A2B">
        <w:rPr>
          <w:rFonts w:ascii="Times New Roman" w:hAnsi="Times New Roman" w:cs="Times New Roman"/>
          <w:sz w:val="22"/>
          <w:szCs w:val="22"/>
        </w:rPr>
        <w:t xml:space="preserve">See </w:t>
      </w:r>
      <w:r>
        <w:rPr>
          <w:rFonts w:ascii="Times New Roman" w:hAnsi="Times New Roman" w:cs="Times New Roman"/>
          <w:sz w:val="22"/>
          <w:szCs w:val="22"/>
        </w:rPr>
        <w:t xml:space="preserve">also </w:t>
      </w:r>
      <w:r w:rsidRPr="00E16A2B">
        <w:rPr>
          <w:rFonts w:ascii="Times New Roman" w:hAnsi="Times New Roman" w:cs="Times New Roman"/>
          <w:sz w:val="22"/>
          <w:szCs w:val="22"/>
        </w:rPr>
        <w:t xml:space="preserve">Exhibit </w:t>
      </w:r>
      <w:r>
        <w:rPr>
          <w:rFonts w:ascii="Times New Roman" w:hAnsi="Times New Roman" w:cs="Times New Roman"/>
          <w:sz w:val="22"/>
          <w:szCs w:val="22"/>
        </w:rPr>
        <w:t>29</w:t>
      </w:r>
      <w:r w:rsidRPr="00E16A2B">
        <w:rPr>
          <w:rFonts w:ascii="Times New Roman" w:hAnsi="Times New Roman" w:cs="Times New Roman"/>
          <w:sz w:val="22"/>
          <w:szCs w:val="22"/>
        </w:rPr>
        <w:t>-P (Reserve 20</w:t>
      </w:r>
      <w:r>
        <w:rPr>
          <w:rFonts w:ascii="Times New Roman" w:hAnsi="Times New Roman" w:cs="Times New Roman"/>
          <w:sz w:val="22"/>
          <w:szCs w:val="22"/>
        </w:rPr>
        <w:t>09</w:t>
      </w:r>
      <w:r w:rsidRPr="00E16A2B">
        <w:rPr>
          <w:rFonts w:ascii="Times New Roman" w:hAnsi="Times New Roman" w:cs="Times New Roman"/>
          <w:sz w:val="22"/>
          <w:szCs w:val="22"/>
        </w:rPr>
        <w:t xml:space="preserve"> General Ledger), Account 50100 (Loss Expenses), reflecting $</w:t>
      </w:r>
      <w:r>
        <w:rPr>
          <w:rFonts w:ascii="Times New Roman" w:hAnsi="Times New Roman" w:cs="Times New Roman"/>
          <w:sz w:val="22"/>
          <w:szCs w:val="22"/>
        </w:rPr>
        <w:t>70,332.19</w:t>
      </w:r>
      <w:r w:rsidRPr="00E16A2B">
        <w:rPr>
          <w:rFonts w:ascii="Times New Roman" w:hAnsi="Times New Roman" w:cs="Times New Roman"/>
          <w:sz w:val="22"/>
          <w:szCs w:val="22"/>
        </w:rPr>
        <w:t xml:space="preserve"> losses paid in 20</w:t>
      </w:r>
      <w:r>
        <w:rPr>
          <w:rFonts w:ascii="Times New Roman" w:hAnsi="Times New Roman" w:cs="Times New Roman"/>
          <w:sz w:val="22"/>
          <w:szCs w:val="22"/>
        </w:rPr>
        <w:t>09</w:t>
      </w:r>
      <w:r w:rsidRPr="00E16A2B">
        <w:rPr>
          <w:rFonts w:ascii="Times New Roman" w:hAnsi="Times New Roman" w:cs="Times New Roman"/>
          <w:sz w:val="22"/>
          <w:szCs w:val="22"/>
        </w:rPr>
        <w:t xml:space="preserve"> in connection with “other reinsurance</w:t>
      </w:r>
      <w:r>
        <w:rPr>
          <w:rFonts w:ascii="Times New Roman" w:hAnsi="Times New Roman" w:cs="Times New Roman"/>
          <w:sz w:val="22"/>
          <w:szCs w:val="22"/>
        </w:rPr>
        <w:t>.”</w:t>
      </w:r>
    </w:p>
    <w:p w14:paraId="74A8F3EB" w14:textId="77777777" w:rsidR="00FC046A" w:rsidRDefault="00FC046A">
      <w:pPr>
        <w:pStyle w:val="EndnoteText"/>
        <w:rPr>
          <w:rFonts w:ascii="Times New Roman" w:hAnsi="Times New Roman" w:cs="Times New Roman"/>
          <w:sz w:val="22"/>
          <w:szCs w:val="22"/>
        </w:rPr>
      </w:pPr>
    </w:p>
    <w:p w14:paraId="5CB458E0" w14:textId="15DCBBC2" w:rsidR="00FC046A" w:rsidRPr="00260D02" w:rsidRDefault="00FC046A">
      <w:pPr>
        <w:pStyle w:val="EndnoteText"/>
        <w:rPr>
          <w:rFonts w:ascii="Times New Roman" w:hAnsi="Times New Roman" w:cs="Times New Roman"/>
          <w:sz w:val="22"/>
          <w:szCs w:val="22"/>
        </w:rPr>
      </w:pPr>
      <w:r w:rsidRPr="00260D02">
        <w:rPr>
          <w:rFonts w:ascii="Times New Roman" w:hAnsi="Times New Roman" w:cs="Times New Roman"/>
          <w:sz w:val="22"/>
          <w:szCs w:val="22"/>
        </w:rPr>
        <w:t xml:space="preserve">See </w:t>
      </w:r>
      <w:r>
        <w:rPr>
          <w:rFonts w:ascii="Times New Roman" w:hAnsi="Times New Roman" w:cs="Times New Roman"/>
          <w:sz w:val="22"/>
          <w:szCs w:val="22"/>
        </w:rPr>
        <w:t xml:space="preserve">also </w:t>
      </w:r>
      <w:r w:rsidRPr="00260D02">
        <w:rPr>
          <w:rFonts w:ascii="Times New Roman" w:hAnsi="Times New Roman" w:cs="Times New Roman"/>
          <w:sz w:val="22"/>
          <w:szCs w:val="22"/>
        </w:rPr>
        <w:t>Exhibit 30-P (Reserve 2010 General Ledger), Account 50100 (Loss Expenses), reflecting $56,399.81 losses paid in 2010 in connection with “other reinsurance.”</w:t>
      </w:r>
    </w:p>
    <w:p w14:paraId="1D157759" w14:textId="77777777" w:rsidR="00FC046A" w:rsidRPr="00260D02" w:rsidRDefault="00FC046A">
      <w:pPr>
        <w:pStyle w:val="EndnoteText"/>
        <w:rPr>
          <w:rFonts w:ascii="Times New Roman" w:hAnsi="Times New Roman" w:cs="Times New Roman"/>
          <w:sz w:val="22"/>
          <w:szCs w:val="22"/>
        </w:rPr>
      </w:pPr>
    </w:p>
  </w:endnote>
  <w:endnote w:id="54">
    <w:p w14:paraId="04671C2B" w14:textId="6A2F7C43" w:rsidR="00FC046A" w:rsidRPr="00A15D3F" w:rsidRDefault="00FC046A" w:rsidP="00AC641C">
      <w:pPr>
        <w:pStyle w:val="EndnoteText"/>
        <w:rPr>
          <w:rFonts w:ascii="Times New Roman" w:hAnsi="Times New Roman" w:cs="Times New Roman"/>
          <w:sz w:val="22"/>
          <w:szCs w:val="22"/>
        </w:rPr>
      </w:pPr>
      <w:r w:rsidRPr="00681E73">
        <w:rPr>
          <w:rStyle w:val="EndnoteReference"/>
          <w:rFonts w:ascii="Times New Roman" w:hAnsi="Times New Roman" w:cs="Times New Roman"/>
          <w:sz w:val="22"/>
          <w:szCs w:val="22"/>
        </w:rPr>
        <w:endnoteRef/>
      </w:r>
      <w:r w:rsidRPr="00681E73">
        <w:rPr>
          <w:rFonts w:ascii="Times New Roman" w:hAnsi="Times New Roman" w:cs="Times New Roman"/>
          <w:sz w:val="22"/>
          <w:szCs w:val="22"/>
        </w:rPr>
        <w:t xml:space="preserve"> Unpublished decisions generally </w:t>
      </w:r>
      <w:r>
        <w:rPr>
          <w:rFonts w:ascii="Times New Roman" w:hAnsi="Times New Roman" w:cs="Times New Roman"/>
          <w:sz w:val="22"/>
          <w:szCs w:val="22"/>
        </w:rPr>
        <w:t xml:space="preserve">are: (i) </w:t>
      </w:r>
      <w:r w:rsidRPr="00681E73">
        <w:rPr>
          <w:rFonts w:ascii="Times New Roman" w:hAnsi="Times New Roman" w:cs="Times New Roman"/>
          <w:sz w:val="22"/>
          <w:szCs w:val="22"/>
        </w:rPr>
        <w:t xml:space="preserve">available on the </w:t>
      </w:r>
      <w:r>
        <w:rPr>
          <w:rFonts w:ascii="Times New Roman" w:hAnsi="Times New Roman" w:cs="Times New Roman"/>
          <w:sz w:val="22"/>
          <w:szCs w:val="22"/>
        </w:rPr>
        <w:t>Tax C</w:t>
      </w:r>
      <w:r w:rsidRPr="00681E73">
        <w:rPr>
          <w:rFonts w:ascii="Times New Roman" w:hAnsi="Times New Roman" w:cs="Times New Roman"/>
          <w:sz w:val="22"/>
          <w:szCs w:val="22"/>
        </w:rPr>
        <w:t xml:space="preserve">ourt’s website from 1995 to-date and </w:t>
      </w:r>
      <w:r>
        <w:rPr>
          <w:rFonts w:ascii="Times New Roman" w:hAnsi="Times New Roman" w:cs="Times New Roman"/>
          <w:sz w:val="22"/>
          <w:szCs w:val="22"/>
        </w:rPr>
        <w:t xml:space="preserve">(ii) </w:t>
      </w:r>
      <w:r w:rsidRPr="00681E73">
        <w:rPr>
          <w:rFonts w:ascii="Times New Roman" w:hAnsi="Times New Roman" w:cs="Times New Roman"/>
          <w:sz w:val="22"/>
          <w:szCs w:val="22"/>
        </w:rPr>
        <w:t xml:space="preserve">address cases that do not involve novel legal issues </w:t>
      </w:r>
      <w:r>
        <w:rPr>
          <w:rFonts w:ascii="Times New Roman" w:hAnsi="Times New Roman" w:cs="Times New Roman"/>
          <w:sz w:val="22"/>
          <w:szCs w:val="22"/>
        </w:rPr>
        <w:t xml:space="preserve">for which </w:t>
      </w:r>
      <w:r w:rsidRPr="00681E73">
        <w:rPr>
          <w:rFonts w:ascii="Times New Roman" w:hAnsi="Times New Roman" w:cs="Times New Roman"/>
          <w:sz w:val="22"/>
          <w:szCs w:val="22"/>
        </w:rPr>
        <w:t xml:space="preserve">the law is settled or </w:t>
      </w:r>
      <w:r>
        <w:rPr>
          <w:rFonts w:ascii="Times New Roman" w:hAnsi="Times New Roman" w:cs="Times New Roman"/>
          <w:sz w:val="22"/>
          <w:szCs w:val="22"/>
        </w:rPr>
        <w:t>for which</w:t>
      </w:r>
      <w:r w:rsidRPr="00681E73">
        <w:rPr>
          <w:rFonts w:ascii="Times New Roman" w:hAnsi="Times New Roman" w:cs="Times New Roman"/>
          <w:sz w:val="22"/>
          <w:szCs w:val="22"/>
        </w:rPr>
        <w:t xml:space="preserve"> the result is factually driven.  Although these opinions are technically not precedential, they are often cited by litigants, and the Tax Court does not regard these opinions lightly.  Approximately 90% of opinions are tax court memo opinions</w:t>
      </w:r>
      <w:r>
        <w:rPr>
          <w:rFonts w:ascii="Times New Roman" w:hAnsi="Times New Roman" w:cs="Times New Roman"/>
          <w:sz w:val="22"/>
          <w:szCs w:val="22"/>
        </w:rPr>
        <w:t xml:space="preserve">.  See also </w:t>
      </w:r>
      <w:hyperlink r:id="rId3" w:history="1">
        <w:r w:rsidRPr="00A15D3F">
          <w:rPr>
            <w:rStyle w:val="Hyperlink"/>
            <w:rFonts w:ascii="Times New Roman" w:hAnsi="Times New Roman" w:cs="Times New Roman"/>
            <w:sz w:val="22"/>
            <w:szCs w:val="22"/>
          </w:rPr>
          <w:t>https://www.taxcontroversy360.com/2016/10/types-of-tax-court-opinions-and-their-precedential-effect/</w:t>
        </w:r>
      </w:hyperlink>
      <w:r w:rsidRPr="00A15D3F">
        <w:rPr>
          <w:rFonts w:ascii="Times New Roman" w:hAnsi="Times New Roman" w:cs="Times New Roman"/>
          <w:sz w:val="22"/>
          <w:szCs w:val="22"/>
        </w:rPr>
        <w:t>.</w:t>
      </w:r>
    </w:p>
    <w:p w14:paraId="02B06302" w14:textId="77777777" w:rsidR="00FC046A" w:rsidRPr="00A15D3F" w:rsidRDefault="00FC046A" w:rsidP="00AC641C">
      <w:pPr>
        <w:pStyle w:val="EndnoteText"/>
        <w:rPr>
          <w:rFonts w:ascii="Times New Roman" w:hAnsi="Times New Roman" w:cs="Times New Roman"/>
          <w:sz w:val="22"/>
          <w:szCs w:val="22"/>
        </w:rPr>
      </w:pPr>
    </w:p>
  </w:endnote>
  <w:endnote w:id="55">
    <w:p w14:paraId="76EF18DC" w14:textId="43C903CD" w:rsidR="00FC046A" w:rsidRPr="0065612D" w:rsidRDefault="00FC046A">
      <w:pPr>
        <w:pStyle w:val="EndnoteText"/>
        <w:rPr>
          <w:rFonts w:ascii="Times New Roman" w:hAnsi="Times New Roman" w:cs="Times New Roman"/>
          <w:sz w:val="22"/>
          <w:szCs w:val="22"/>
        </w:rPr>
      </w:pPr>
      <w:r w:rsidRPr="0065612D">
        <w:rPr>
          <w:rStyle w:val="EndnoteReference"/>
          <w:rFonts w:ascii="Times New Roman" w:hAnsi="Times New Roman" w:cs="Times New Roman"/>
          <w:sz w:val="22"/>
          <w:szCs w:val="22"/>
        </w:rPr>
        <w:endnoteRef/>
      </w:r>
      <w:r w:rsidRPr="0065612D">
        <w:rPr>
          <w:rFonts w:ascii="Times New Roman" w:hAnsi="Times New Roman" w:cs="Times New Roman"/>
          <w:sz w:val="22"/>
          <w:szCs w:val="22"/>
        </w:rPr>
        <w:t xml:space="preserve"> See testimony of Norman Zumbaum, </w:t>
      </w:r>
      <w:r>
        <w:rPr>
          <w:rFonts w:ascii="Times New Roman" w:hAnsi="Times New Roman" w:cs="Times New Roman"/>
          <w:sz w:val="22"/>
          <w:szCs w:val="22"/>
        </w:rPr>
        <w:t>Tr.</w:t>
      </w:r>
      <w:r w:rsidRPr="0065612D">
        <w:rPr>
          <w:rFonts w:ascii="Times New Roman" w:hAnsi="Times New Roman" w:cs="Times New Roman"/>
          <w:sz w:val="22"/>
          <w:szCs w:val="22"/>
        </w:rPr>
        <w:t xml:space="preserve"> at 123-124 where Mr. Zumbaum testified that Peak was unable to get pollution insurance due to Peak being located in a “Superfund site” and further testifying that he didn’t know “of any insurance companies in Idaho that would provide any insurance coverage to companies like Peak.  See also</w:t>
      </w:r>
      <w:r>
        <w:rPr>
          <w:rFonts w:ascii="Times New Roman" w:hAnsi="Times New Roman" w:cs="Times New Roman"/>
          <w:sz w:val="22"/>
          <w:szCs w:val="22"/>
        </w:rPr>
        <w:t xml:space="preserve"> </w:t>
      </w:r>
      <w:r w:rsidRPr="00C15098">
        <w:rPr>
          <w:rFonts w:ascii="Times New Roman" w:hAnsi="Times New Roman" w:cs="Times New Roman"/>
          <w:sz w:val="22"/>
          <w:szCs w:val="22"/>
        </w:rPr>
        <w:t>Exhibit 16-J (Captive Insurance Feasibility Study for Peak Mechanical &amp; Components, Inc., Initial Site Visit: August 13, 2008), 1</w:t>
      </w:r>
      <w:r>
        <w:rPr>
          <w:rFonts w:ascii="Times New Roman" w:hAnsi="Times New Roman" w:cs="Times New Roman"/>
          <w:sz w:val="22"/>
          <w:szCs w:val="22"/>
        </w:rPr>
        <w:t>9-21</w:t>
      </w:r>
      <w:r w:rsidRPr="00C15098">
        <w:rPr>
          <w:rFonts w:ascii="Times New Roman" w:hAnsi="Times New Roman" w:cs="Times New Roman"/>
          <w:sz w:val="22"/>
          <w:szCs w:val="22"/>
        </w:rPr>
        <w:t>, Section I</w:t>
      </w:r>
      <w:r>
        <w:rPr>
          <w:rFonts w:ascii="Times New Roman" w:hAnsi="Times New Roman" w:cs="Times New Roman"/>
          <w:sz w:val="22"/>
          <w:szCs w:val="22"/>
        </w:rPr>
        <w:t>V</w:t>
      </w:r>
      <w:r w:rsidRPr="00C15098">
        <w:rPr>
          <w:rFonts w:ascii="Times New Roman" w:hAnsi="Times New Roman" w:cs="Times New Roman"/>
          <w:sz w:val="22"/>
          <w:szCs w:val="22"/>
        </w:rPr>
        <w:t>.</w:t>
      </w:r>
      <w:r>
        <w:rPr>
          <w:rFonts w:ascii="Times New Roman" w:hAnsi="Times New Roman" w:cs="Times New Roman"/>
          <w:sz w:val="22"/>
          <w:szCs w:val="22"/>
        </w:rPr>
        <w:t>1</w:t>
      </w:r>
      <w:r w:rsidRPr="00C15098">
        <w:rPr>
          <w:rFonts w:ascii="Times New Roman" w:hAnsi="Times New Roman" w:cs="Times New Roman"/>
          <w:sz w:val="22"/>
          <w:szCs w:val="22"/>
        </w:rPr>
        <w:t xml:space="preserve"> (</w:t>
      </w:r>
      <w:r>
        <w:rPr>
          <w:rFonts w:ascii="Times New Roman" w:hAnsi="Times New Roman" w:cs="Times New Roman"/>
          <w:sz w:val="22"/>
          <w:szCs w:val="22"/>
        </w:rPr>
        <w:t>Business Operations Information Summary</w:t>
      </w:r>
      <w:r w:rsidRPr="00C15098">
        <w:rPr>
          <w:rFonts w:ascii="Times New Roman" w:hAnsi="Times New Roman" w:cs="Times New Roman"/>
          <w:sz w:val="22"/>
          <w:szCs w:val="22"/>
        </w:rPr>
        <w:t>), subsection on “</w:t>
      </w:r>
      <w:r>
        <w:rPr>
          <w:rFonts w:ascii="Times New Roman" w:hAnsi="Times New Roman" w:cs="Times New Roman"/>
          <w:sz w:val="22"/>
          <w:szCs w:val="22"/>
        </w:rPr>
        <w:t>Other Risk Management Issues,</w:t>
      </w:r>
      <w:r w:rsidRPr="00C15098">
        <w:rPr>
          <w:rFonts w:ascii="Times New Roman" w:hAnsi="Times New Roman" w:cs="Times New Roman"/>
          <w:sz w:val="22"/>
          <w:szCs w:val="22"/>
        </w:rPr>
        <w:t>”</w:t>
      </w:r>
      <w:r>
        <w:rPr>
          <w:rFonts w:ascii="Times New Roman" w:hAnsi="Times New Roman" w:cs="Times New Roman"/>
          <w:sz w:val="22"/>
          <w:szCs w:val="22"/>
        </w:rPr>
        <w:t xml:space="preserve"> identifying 13 different risks that Peak faced that “are </w:t>
      </w:r>
      <w:r w:rsidRPr="00171152">
        <w:rPr>
          <w:rFonts w:ascii="Times New Roman" w:hAnsi="Times New Roman" w:cs="Times New Roman"/>
          <w:sz w:val="22"/>
          <w:szCs w:val="22"/>
        </w:rPr>
        <w:t xml:space="preserve">not </w:t>
      </w:r>
      <w:r>
        <w:rPr>
          <w:rFonts w:ascii="Times New Roman" w:hAnsi="Times New Roman" w:cs="Times New Roman"/>
          <w:sz w:val="22"/>
          <w:szCs w:val="22"/>
        </w:rPr>
        <w:t xml:space="preserve">now </w:t>
      </w:r>
      <w:r w:rsidRPr="00171152">
        <w:rPr>
          <w:rFonts w:ascii="Times New Roman" w:hAnsi="Times New Roman" w:cs="Times New Roman"/>
          <w:sz w:val="22"/>
          <w:szCs w:val="22"/>
        </w:rPr>
        <w:t>adequately covered by conventional insurance</w:t>
      </w:r>
      <w:r>
        <w:rPr>
          <w:rFonts w:ascii="Times New Roman" w:hAnsi="Times New Roman" w:cs="Times New Roman"/>
          <w:sz w:val="22"/>
          <w:szCs w:val="22"/>
        </w:rPr>
        <w:t xml:space="preserve">” and describing why each risk identified was a significant risk to Peak’s business operations.  </w:t>
      </w:r>
      <w:r w:rsidRPr="00135615">
        <w:rPr>
          <w:rFonts w:ascii="Times New Roman" w:hAnsi="Times New Roman" w:cs="Times New Roman"/>
          <w:sz w:val="22"/>
          <w:szCs w:val="22"/>
        </w:rPr>
        <w:t>Th</w:t>
      </w:r>
      <w:r>
        <w:rPr>
          <w:rFonts w:ascii="Times New Roman" w:hAnsi="Times New Roman" w:cs="Times New Roman"/>
          <w:sz w:val="22"/>
          <w:szCs w:val="22"/>
        </w:rPr>
        <w:t xml:space="preserve">ese </w:t>
      </w:r>
      <w:r w:rsidRPr="00135615">
        <w:rPr>
          <w:rFonts w:ascii="Times New Roman" w:hAnsi="Times New Roman" w:cs="Times New Roman"/>
          <w:sz w:val="22"/>
          <w:szCs w:val="22"/>
        </w:rPr>
        <w:t>risks identified in the feasibility study formed the heart of the risks that were later insured by Reserve pursuant to Peak’s insurance program.</w:t>
      </w:r>
    </w:p>
    <w:p w14:paraId="5B98E3DE" w14:textId="77777777" w:rsidR="00FC046A" w:rsidRPr="0065612D" w:rsidRDefault="00FC046A">
      <w:pPr>
        <w:pStyle w:val="EndnoteText"/>
        <w:rPr>
          <w:rFonts w:ascii="Times New Roman" w:hAnsi="Times New Roman" w:cs="Times New Roman"/>
          <w:sz w:val="22"/>
          <w:szCs w:val="22"/>
        </w:rPr>
      </w:pPr>
    </w:p>
  </w:endnote>
  <w:endnote w:id="56">
    <w:p w14:paraId="10878A60" w14:textId="784E5277" w:rsidR="00FC046A" w:rsidRDefault="00FC046A" w:rsidP="0060085F">
      <w:pPr>
        <w:pStyle w:val="EndnoteText"/>
        <w:rPr>
          <w:rFonts w:ascii="Times New Roman" w:hAnsi="Times New Roman" w:cs="Times New Roman"/>
          <w:sz w:val="22"/>
          <w:szCs w:val="22"/>
        </w:rPr>
      </w:pPr>
      <w:r w:rsidRPr="00A15D3F">
        <w:rPr>
          <w:rStyle w:val="EndnoteReference"/>
          <w:rFonts w:ascii="Times New Roman" w:hAnsi="Times New Roman" w:cs="Times New Roman"/>
          <w:sz w:val="22"/>
          <w:szCs w:val="22"/>
        </w:rPr>
        <w:endnoteRef/>
      </w:r>
      <w:r w:rsidRPr="00A15D3F">
        <w:rPr>
          <w:rFonts w:ascii="Times New Roman" w:hAnsi="Times New Roman" w:cs="Times New Roman"/>
          <w:sz w:val="22"/>
          <w:szCs w:val="22"/>
        </w:rPr>
        <w:t xml:space="preserve"> </w:t>
      </w:r>
      <w:r w:rsidRPr="0048460C">
        <w:rPr>
          <w:rFonts w:ascii="Times New Roman" w:hAnsi="Times New Roman" w:cs="Times New Roman"/>
          <w:sz w:val="22"/>
          <w:szCs w:val="22"/>
        </w:rPr>
        <w:t xml:space="preserve">See </w:t>
      </w:r>
      <w:r>
        <w:rPr>
          <w:rFonts w:ascii="Times New Roman" w:hAnsi="Times New Roman" w:cs="Times New Roman"/>
          <w:sz w:val="22"/>
          <w:szCs w:val="22"/>
        </w:rPr>
        <w:t xml:space="preserve">Exhibit 1-J (Notice of Deficiency Issued to Reserve on March 29, 2016 by Department of Treasury, Internal Revenue Service).  </w:t>
      </w:r>
      <w:r w:rsidRPr="00A15D3F">
        <w:rPr>
          <w:rFonts w:ascii="Times New Roman" w:hAnsi="Times New Roman" w:cs="Times New Roman"/>
          <w:sz w:val="22"/>
          <w:szCs w:val="22"/>
        </w:rPr>
        <w:t xml:space="preserve">The government’s notice of deficiency </w:t>
      </w:r>
      <w:r>
        <w:rPr>
          <w:rFonts w:ascii="Times New Roman" w:hAnsi="Times New Roman" w:cs="Times New Roman"/>
          <w:sz w:val="22"/>
          <w:szCs w:val="22"/>
        </w:rPr>
        <w:t xml:space="preserve">simply </w:t>
      </w:r>
      <w:r w:rsidRPr="00A15D3F">
        <w:rPr>
          <w:rFonts w:ascii="Times New Roman" w:hAnsi="Times New Roman" w:cs="Times New Roman"/>
          <w:sz w:val="22"/>
          <w:szCs w:val="22"/>
        </w:rPr>
        <w:t xml:space="preserve">asserted that Reserve was not a tax-exempt insurance company within the meaning of IRC section 501(c)(15) for the tax years in issue.  The government based this assertion on the following </w:t>
      </w:r>
      <w:r>
        <w:rPr>
          <w:rFonts w:ascii="Times New Roman" w:hAnsi="Times New Roman" w:cs="Times New Roman"/>
          <w:sz w:val="22"/>
          <w:szCs w:val="22"/>
        </w:rPr>
        <w:t>determination</w:t>
      </w:r>
      <w:r w:rsidRPr="00A15D3F">
        <w:rPr>
          <w:rFonts w:ascii="Times New Roman" w:hAnsi="Times New Roman" w:cs="Times New Roman"/>
          <w:sz w:val="22"/>
          <w:szCs w:val="22"/>
        </w:rPr>
        <w:t>s: (1)</w:t>
      </w:r>
      <w:r>
        <w:rPr>
          <w:rFonts w:ascii="Times New Roman" w:hAnsi="Times New Roman" w:cs="Times New Roman"/>
          <w:sz w:val="22"/>
          <w:szCs w:val="22"/>
        </w:rPr>
        <w:t xml:space="preserve"> Reserve’s</w:t>
      </w:r>
      <w:r w:rsidRPr="00A15D3F">
        <w:rPr>
          <w:rFonts w:ascii="Times New Roman" w:hAnsi="Times New Roman" w:cs="Times New Roman"/>
          <w:sz w:val="22"/>
          <w:szCs w:val="22"/>
        </w:rPr>
        <w:t xml:space="preserve"> purported insurance transactions and/or reinsurance transaction</w:t>
      </w:r>
      <w:r>
        <w:rPr>
          <w:rFonts w:ascii="Times New Roman" w:hAnsi="Times New Roman" w:cs="Times New Roman"/>
          <w:sz w:val="22"/>
          <w:szCs w:val="22"/>
        </w:rPr>
        <w:t>s</w:t>
      </w:r>
      <w:r w:rsidRPr="00A15D3F">
        <w:rPr>
          <w:rFonts w:ascii="Times New Roman" w:hAnsi="Times New Roman" w:cs="Times New Roman"/>
          <w:sz w:val="22"/>
          <w:szCs w:val="22"/>
        </w:rPr>
        <w:t xml:space="preserve"> “lack</w:t>
      </w:r>
      <w:r>
        <w:rPr>
          <w:rFonts w:ascii="Times New Roman" w:hAnsi="Times New Roman" w:cs="Times New Roman"/>
          <w:sz w:val="22"/>
          <w:szCs w:val="22"/>
        </w:rPr>
        <w:t>[ed]</w:t>
      </w:r>
      <w:r w:rsidRPr="00A15D3F">
        <w:rPr>
          <w:rFonts w:ascii="Times New Roman" w:hAnsi="Times New Roman" w:cs="Times New Roman"/>
          <w:sz w:val="22"/>
          <w:szCs w:val="22"/>
        </w:rPr>
        <w:t xml:space="preserve"> economic substance” and (2) in the alternative, </w:t>
      </w:r>
      <w:r>
        <w:rPr>
          <w:rFonts w:ascii="Times New Roman" w:hAnsi="Times New Roman" w:cs="Times New Roman"/>
          <w:sz w:val="22"/>
          <w:szCs w:val="22"/>
        </w:rPr>
        <w:t>Reserve was not an insurance company within the meaning of subchapter L of the Internal Revenue Code, since “its primary and predominant activity [was] not insurance.”  The government argued the “economic substance” doctrine, stating that “t</w:t>
      </w:r>
      <w:r w:rsidRPr="0060085F">
        <w:rPr>
          <w:rFonts w:ascii="Times New Roman" w:hAnsi="Times New Roman" w:cs="Times New Roman"/>
          <w:sz w:val="22"/>
          <w:szCs w:val="22"/>
        </w:rPr>
        <w:t>he purported premium payments made by Peak to</w:t>
      </w:r>
      <w:r>
        <w:rPr>
          <w:rFonts w:ascii="Times New Roman" w:hAnsi="Times New Roman" w:cs="Times New Roman"/>
          <w:sz w:val="22"/>
          <w:szCs w:val="22"/>
        </w:rPr>
        <w:t xml:space="preserve"> </w:t>
      </w:r>
      <w:r w:rsidRPr="0060085F">
        <w:rPr>
          <w:rFonts w:ascii="Times New Roman" w:hAnsi="Times New Roman" w:cs="Times New Roman"/>
          <w:sz w:val="22"/>
          <w:szCs w:val="22"/>
        </w:rPr>
        <w:t>petitioner for the alleged captive insurance coverages had no</w:t>
      </w:r>
      <w:r>
        <w:rPr>
          <w:rFonts w:ascii="Times New Roman" w:hAnsi="Times New Roman" w:cs="Times New Roman"/>
          <w:sz w:val="22"/>
          <w:szCs w:val="22"/>
        </w:rPr>
        <w:t xml:space="preserve"> </w:t>
      </w:r>
      <w:r w:rsidRPr="0060085F">
        <w:rPr>
          <w:rFonts w:ascii="Times New Roman" w:hAnsi="Times New Roman" w:cs="Times New Roman"/>
          <w:sz w:val="22"/>
          <w:szCs w:val="22"/>
        </w:rPr>
        <w:t>economic substance beyond tax benefits</w:t>
      </w:r>
      <w:r>
        <w:rPr>
          <w:rFonts w:ascii="Times New Roman" w:hAnsi="Times New Roman" w:cs="Times New Roman"/>
          <w:sz w:val="22"/>
          <w:szCs w:val="22"/>
        </w:rPr>
        <w:t xml:space="preserve"> and further stated that “</w:t>
      </w:r>
      <w:r w:rsidRPr="0060085F">
        <w:rPr>
          <w:rFonts w:ascii="Times New Roman" w:hAnsi="Times New Roman" w:cs="Times New Roman"/>
          <w:sz w:val="22"/>
          <w:szCs w:val="22"/>
        </w:rPr>
        <w:t>Peak,</w:t>
      </w:r>
      <w:r>
        <w:rPr>
          <w:rFonts w:ascii="Times New Roman" w:hAnsi="Times New Roman" w:cs="Times New Roman"/>
          <w:sz w:val="22"/>
          <w:szCs w:val="22"/>
        </w:rPr>
        <w:t xml:space="preserve"> </w:t>
      </w:r>
      <w:r w:rsidRPr="0060085F">
        <w:rPr>
          <w:rFonts w:ascii="Times New Roman" w:hAnsi="Times New Roman" w:cs="Times New Roman"/>
          <w:sz w:val="22"/>
          <w:szCs w:val="22"/>
        </w:rPr>
        <w:t>RocQuest, and ZW Enterprises have failed to demonstrate a nontax</w:t>
      </w:r>
      <w:r>
        <w:rPr>
          <w:rFonts w:ascii="Times New Roman" w:hAnsi="Times New Roman" w:cs="Times New Roman"/>
          <w:sz w:val="22"/>
          <w:szCs w:val="22"/>
        </w:rPr>
        <w:t xml:space="preserve"> </w:t>
      </w:r>
      <w:r w:rsidRPr="0060085F">
        <w:rPr>
          <w:rFonts w:ascii="Times New Roman" w:hAnsi="Times New Roman" w:cs="Times New Roman"/>
          <w:sz w:val="22"/>
          <w:szCs w:val="22"/>
        </w:rPr>
        <w:t>business purpose for entering into the captive insurance</w:t>
      </w:r>
      <w:r>
        <w:rPr>
          <w:rFonts w:ascii="Times New Roman" w:hAnsi="Times New Roman" w:cs="Times New Roman"/>
          <w:sz w:val="22"/>
          <w:szCs w:val="22"/>
        </w:rPr>
        <w:t xml:space="preserve"> </w:t>
      </w:r>
      <w:r w:rsidRPr="0060085F">
        <w:rPr>
          <w:rFonts w:ascii="Times New Roman" w:hAnsi="Times New Roman" w:cs="Times New Roman"/>
          <w:sz w:val="22"/>
          <w:szCs w:val="22"/>
        </w:rPr>
        <w:t>arrangement for the purported insurance and/or reinsurance</w:t>
      </w:r>
      <w:r>
        <w:rPr>
          <w:rFonts w:ascii="Times New Roman" w:hAnsi="Times New Roman" w:cs="Times New Roman"/>
          <w:sz w:val="22"/>
          <w:szCs w:val="22"/>
        </w:rPr>
        <w:t xml:space="preserve"> </w:t>
      </w:r>
      <w:r w:rsidRPr="0060085F">
        <w:rPr>
          <w:rFonts w:ascii="Times New Roman" w:hAnsi="Times New Roman" w:cs="Times New Roman"/>
          <w:sz w:val="22"/>
          <w:szCs w:val="22"/>
        </w:rPr>
        <w:t>transactions at issue in this case.</w:t>
      </w:r>
      <w:r>
        <w:rPr>
          <w:rFonts w:ascii="Times New Roman" w:hAnsi="Times New Roman" w:cs="Times New Roman"/>
          <w:sz w:val="22"/>
          <w:szCs w:val="22"/>
        </w:rPr>
        <w:t>”  See Simultaneous Opening Brief for Respondent (filed August 7, 2017) at 51.</w:t>
      </w:r>
    </w:p>
    <w:p w14:paraId="3AD4508E" w14:textId="77777777" w:rsidR="00FC046A" w:rsidRPr="002C68D0" w:rsidRDefault="00FC046A">
      <w:pPr>
        <w:pStyle w:val="EndnoteText"/>
        <w:rPr>
          <w:rFonts w:ascii="Times New Roman" w:hAnsi="Times New Roman" w:cs="Times New Roman"/>
          <w:sz w:val="22"/>
          <w:szCs w:val="22"/>
        </w:rPr>
      </w:pPr>
    </w:p>
  </w:endnote>
  <w:endnote w:id="57">
    <w:p w14:paraId="15C8335D" w14:textId="3D9357B5" w:rsidR="00FC046A" w:rsidRPr="002C68D0" w:rsidRDefault="00FC046A">
      <w:pPr>
        <w:pStyle w:val="EndnoteText"/>
        <w:rPr>
          <w:rFonts w:ascii="Times New Roman" w:hAnsi="Times New Roman" w:cs="Times New Roman"/>
          <w:sz w:val="22"/>
          <w:szCs w:val="22"/>
        </w:rPr>
      </w:pPr>
      <w:r w:rsidRPr="002C68D0">
        <w:rPr>
          <w:rStyle w:val="EndnoteReference"/>
          <w:rFonts w:ascii="Times New Roman" w:hAnsi="Times New Roman" w:cs="Times New Roman"/>
          <w:sz w:val="22"/>
          <w:szCs w:val="22"/>
        </w:rPr>
        <w:endnoteRef/>
      </w:r>
      <w:r w:rsidRPr="002C68D0">
        <w:rPr>
          <w:rFonts w:ascii="Times New Roman" w:hAnsi="Times New Roman" w:cs="Times New Roman"/>
          <w:sz w:val="22"/>
          <w:szCs w:val="22"/>
        </w:rPr>
        <w:t xml:space="preserve"> See </w:t>
      </w:r>
      <w:r>
        <w:rPr>
          <w:rFonts w:ascii="Times New Roman" w:hAnsi="Times New Roman" w:cs="Times New Roman"/>
          <w:sz w:val="22"/>
          <w:szCs w:val="22"/>
        </w:rPr>
        <w:t xml:space="preserve">Opinion at 60. </w:t>
      </w:r>
    </w:p>
    <w:p w14:paraId="160C30C8" w14:textId="77777777" w:rsidR="00FC046A" w:rsidRPr="002C68D0" w:rsidRDefault="00FC046A">
      <w:pPr>
        <w:pStyle w:val="EndnoteText"/>
        <w:rPr>
          <w:rFonts w:ascii="Times New Roman" w:hAnsi="Times New Roman" w:cs="Times New Roman"/>
          <w:sz w:val="22"/>
          <w:szCs w:val="22"/>
        </w:rPr>
      </w:pPr>
    </w:p>
  </w:endnote>
  <w:endnote w:id="58">
    <w:p w14:paraId="2D3C12B6" w14:textId="5169FB7E" w:rsidR="00FC046A" w:rsidRDefault="00FC046A">
      <w:pPr>
        <w:pStyle w:val="EndnoteText"/>
        <w:rPr>
          <w:rFonts w:ascii="Times New Roman" w:hAnsi="Times New Roman" w:cs="Times New Roman"/>
          <w:sz w:val="22"/>
          <w:szCs w:val="22"/>
        </w:rPr>
      </w:pPr>
      <w:r w:rsidRPr="002C68D0">
        <w:rPr>
          <w:rStyle w:val="EndnoteReference"/>
          <w:rFonts w:ascii="Times New Roman" w:hAnsi="Times New Roman" w:cs="Times New Roman"/>
          <w:sz w:val="22"/>
          <w:szCs w:val="22"/>
        </w:rPr>
        <w:endnoteRef/>
      </w:r>
      <w:r w:rsidRPr="002C68D0">
        <w:rPr>
          <w:rFonts w:ascii="Times New Roman" w:hAnsi="Times New Roman" w:cs="Times New Roman"/>
          <w:sz w:val="22"/>
          <w:szCs w:val="22"/>
        </w:rPr>
        <w:t xml:space="preserve"> See </w:t>
      </w:r>
      <w:r>
        <w:rPr>
          <w:rFonts w:ascii="Times New Roman" w:hAnsi="Times New Roman" w:cs="Times New Roman"/>
          <w:sz w:val="22"/>
          <w:szCs w:val="22"/>
        </w:rPr>
        <w:t xml:space="preserve">Opinion at 62. </w:t>
      </w:r>
    </w:p>
    <w:p w14:paraId="155A8373" w14:textId="77777777" w:rsidR="00FC046A" w:rsidRPr="00F322DF" w:rsidRDefault="00FC046A">
      <w:pPr>
        <w:pStyle w:val="EndnoteText"/>
        <w:rPr>
          <w:rFonts w:ascii="Times New Roman" w:hAnsi="Times New Roman" w:cs="Times New Roman"/>
          <w:sz w:val="22"/>
          <w:szCs w:val="22"/>
        </w:rPr>
      </w:pPr>
    </w:p>
  </w:endnote>
  <w:endnote w:id="59">
    <w:p w14:paraId="018B041C" w14:textId="4AD01436" w:rsidR="00FC046A" w:rsidRPr="00F322DF" w:rsidRDefault="00FC046A">
      <w:pPr>
        <w:pStyle w:val="EndnoteText"/>
        <w:rPr>
          <w:rFonts w:ascii="Times New Roman" w:hAnsi="Times New Roman" w:cs="Times New Roman"/>
          <w:sz w:val="22"/>
          <w:szCs w:val="22"/>
        </w:rPr>
      </w:pPr>
      <w:r w:rsidRPr="00F322DF">
        <w:rPr>
          <w:rStyle w:val="EndnoteReference"/>
          <w:rFonts w:ascii="Times New Roman" w:hAnsi="Times New Roman" w:cs="Times New Roman"/>
          <w:sz w:val="22"/>
          <w:szCs w:val="22"/>
        </w:rPr>
        <w:endnoteRef/>
      </w:r>
      <w:r w:rsidRPr="00F322DF">
        <w:rPr>
          <w:rFonts w:ascii="Times New Roman" w:hAnsi="Times New Roman" w:cs="Times New Roman"/>
          <w:sz w:val="22"/>
          <w:szCs w:val="22"/>
        </w:rPr>
        <w:t xml:space="preserve"> </w:t>
      </w:r>
      <w:r w:rsidRPr="00660EDD">
        <w:rPr>
          <w:rFonts w:ascii="Times New Roman" w:hAnsi="Times New Roman" w:cs="Times New Roman"/>
          <w:sz w:val="22"/>
          <w:szCs w:val="22"/>
        </w:rPr>
        <w:t>See</w:t>
      </w:r>
      <w:r w:rsidRPr="00790F14">
        <w:rPr>
          <w:rFonts w:ascii="Times New Roman" w:hAnsi="Times New Roman" w:cs="Times New Roman"/>
          <w:sz w:val="22"/>
          <w:szCs w:val="22"/>
        </w:rPr>
        <w:t xml:space="preserve"> </w:t>
      </w:r>
      <w:r w:rsidRPr="00790F14">
        <w:rPr>
          <w:rFonts w:ascii="Times New Roman" w:hAnsi="Times New Roman" w:cs="Times New Roman"/>
          <w:i/>
          <w:sz w:val="22"/>
          <w:szCs w:val="22"/>
        </w:rPr>
        <w:t>Commissioner of Internal Revenue v. Treganowan</w:t>
      </w:r>
      <w:r w:rsidRPr="00790F14">
        <w:rPr>
          <w:rFonts w:ascii="Times New Roman" w:hAnsi="Times New Roman" w:cs="Times New Roman"/>
          <w:sz w:val="22"/>
          <w:szCs w:val="22"/>
        </w:rPr>
        <w:t>, 183 F.2d 288, 290-291 (2d Cir. 1950)</w:t>
      </w:r>
      <w:r>
        <w:rPr>
          <w:rFonts w:ascii="Times New Roman" w:hAnsi="Times New Roman" w:cs="Times New Roman"/>
          <w:sz w:val="22"/>
          <w:szCs w:val="22"/>
        </w:rPr>
        <w:t xml:space="preserve">, where the court stated as follows: </w:t>
      </w:r>
      <w:r w:rsidRPr="00790F14">
        <w:rPr>
          <w:rFonts w:ascii="Times New Roman" w:hAnsi="Times New Roman" w:cs="Times New Roman"/>
          <w:sz w:val="22"/>
          <w:szCs w:val="22"/>
        </w:rPr>
        <w:t>“From an insurance standpoint there is no risk unless there is uncertainty or, to use a better term, fortuitousness. It may be uncertain whether the risk will materialize in any particular case. Even death may be considered fortuitous, because the time of its occurrence is beyond control.”</w:t>
      </w:r>
      <w:r>
        <w:rPr>
          <w:rFonts w:ascii="Times New Roman" w:hAnsi="Times New Roman" w:cs="Times New Roman"/>
          <w:sz w:val="22"/>
          <w:szCs w:val="22"/>
        </w:rPr>
        <w:t xml:space="preserve">  See also </w:t>
      </w:r>
      <w:r w:rsidRPr="00037FA6">
        <w:rPr>
          <w:rFonts w:ascii="Times New Roman" w:hAnsi="Times New Roman" w:cs="Times New Roman"/>
          <w:i/>
          <w:sz w:val="22"/>
          <w:szCs w:val="22"/>
        </w:rPr>
        <w:t>R.V.I. Guaranty Co. v. Commissioner</w:t>
      </w:r>
      <w:r w:rsidRPr="00037FA6">
        <w:rPr>
          <w:rFonts w:ascii="Times New Roman" w:hAnsi="Times New Roman" w:cs="Times New Roman"/>
          <w:sz w:val="22"/>
          <w:szCs w:val="22"/>
        </w:rPr>
        <w:t>, 145 T.C. 209</w:t>
      </w:r>
      <w:r>
        <w:rPr>
          <w:rFonts w:ascii="Times New Roman" w:hAnsi="Times New Roman" w:cs="Times New Roman"/>
          <w:sz w:val="22"/>
          <w:szCs w:val="22"/>
        </w:rPr>
        <w:t>, 222</w:t>
      </w:r>
      <w:r w:rsidRPr="00037FA6">
        <w:rPr>
          <w:rFonts w:ascii="Times New Roman" w:hAnsi="Times New Roman" w:cs="Times New Roman"/>
          <w:sz w:val="22"/>
          <w:szCs w:val="22"/>
        </w:rPr>
        <w:t xml:space="preserve"> (2015)</w:t>
      </w:r>
      <w:r>
        <w:rPr>
          <w:rFonts w:ascii="Times New Roman" w:hAnsi="Times New Roman" w:cs="Times New Roman"/>
          <w:sz w:val="22"/>
          <w:szCs w:val="22"/>
        </w:rPr>
        <w:t>, where the Tax Court held that c</w:t>
      </w:r>
      <w:r w:rsidRPr="00037FA6">
        <w:rPr>
          <w:rFonts w:ascii="Times New Roman" w:hAnsi="Times New Roman" w:cs="Times New Roman"/>
          <w:sz w:val="22"/>
          <w:szCs w:val="22"/>
        </w:rPr>
        <w:t>ontracts</w:t>
      </w:r>
      <w:r>
        <w:rPr>
          <w:rFonts w:ascii="Times New Roman" w:hAnsi="Times New Roman" w:cs="Times New Roman"/>
          <w:sz w:val="22"/>
          <w:szCs w:val="22"/>
        </w:rPr>
        <w:t xml:space="preserve"> issued by R.V.I. Guaranty Co. (RVI) that </w:t>
      </w:r>
      <w:r w:rsidRPr="00037FA6">
        <w:rPr>
          <w:rFonts w:ascii="Times New Roman" w:hAnsi="Times New Roman" w:cs="Times New Roman"/>
          <w:sz w:val="22"/>
          <w:szCs w:val="22"/>
        </w:rPr>
        <w:t>insur</w:t>
      </w:r>
      <w:r>
        <w:rPr>
          <w:rFonts w:ascii="Times New Roman" w:hAnsi="Times New Roman" w:cs="Times New Roman"/>
          <w:sz w:val="22"/>
          <w:szCs w:val="22"/>
        </w:rPr>
        <w:t>ed</w:t>
      </w:r>
      <w:r w:rsidRPr="00037FA6">
        <w:rPr>
          <w:rFonts w:ascii="Times New Roman" w:hAnsi="Times New Roman" w:cs="Times New Roman"/>
          <w:sz w:val="22"/>
          <w:szCs w:val="22"/>
        </w:rPr>
        <w:t xml:space="preserve"> against the risk that the</w:t>
      </w:r>
      <w:r>
        <w:rPr>
          <w:rFonts w:ascii="Times New Roman" w:hAnsi="Times New Roman" w:cs="Times New Roman"/>
          <w:sz w:val="22"/>
          <w:szCs w:val="22"/>
        </w:rPr>
        <w:t xml:space="preserve"> </w:t>
      </w:r>
      <w:r w:rsidRPr="00037FA6">
        <w:rPr>
          <w:rFonts w:ascii="Times New Roman" w:hAnsi="Times New Roman" w:cs="Times New Roman"/>
          <w:sz w:val="22"/>
          <w:szCs w:val="22"/>
        </w:rPr>
        <w:t>actual value of an asset upon termination of a lease would be</w:t>
      </w:r>
      <w:r>
        <w:rPr>
          <w:rFonts w:ascii="Times New Roman" w:hAnsi="Times New Roman" w:cs="Times New Roman"/>
          <w:sz w:val="22"/>
          <w:szCs w:val="22"/>
        </w:rPr>
        <w:t xml:space="preserve"> </w:t>
      </w:r>
      <w:r w:rsidRPr="00037FA6">
        <w:rPr>
          <w:rFonts w:ascii="Times New Roman" w:hAnsi="Times New Roman" w:cs="Times New Roman"/>
          <w:sz w:val="22"/>
          <w:szCs w:val="22"/>
        </w:rPr>
        <w:t>significantly lower than the expected value are contracts of</w:t>
      </w:r>
      <w:r>
        <w:rPr>
          <w:rFonts w:ascii="Times New Roman" w:hAnsi="Times New Roman" w:cs="Times New Roman"/>
          <w:sz w:val="22"/>
          <w:szCs w:val="22"/>
        </w:rPr>
        <w:t xml:space="preserve"> </w:t>
      </w:r>
      <w:r w:rsidRPr="00037FA6">
        <w:rPr>
          <w:rFonts w:ascii="Times New Roman" w:hAnsi="Times New Roman" w:cs="Times New Roman"/>
          <w:sz w:val="22"/>
          <w:szCs w:val="22"/>
        </w:rPr>
        <w:t>“insurance”</w:t>
      </w:r>
      <w:r>
        <w:rPr>
          <w:rFonts w:ascii="Times New Roman" w:hAnsi="Times New Roman" w:cs="Times New Roman"/>
          <w:sz w:val="22"/>
          <w:szCs w:val="22"/>
        </w:rPr>
        <w:t xml:space="preserve"> since </w:t>
      </w:r>
      <w:r w:rsidRPr="00D73FC4">
        <w:rPr>
          <w:rFonts w:ascii="Times New Roman" w:hAnsi="Times New Roman" w:cs="Times New Roman"/>
          <w:sz w:val="22"/>
          <w:szCs w:val="22"/>
        </w:rPr>
        <w:t>losses under RVI</w:t>
      </w:r>
      <w:r>
        <w:rPr>
          <w:rFonts w:ascii="Times New Roman" w:hAnsi="Times New Roman" w:cs="Times New Roman"/>
          <w:sz w:val="22"/>
          <w:szCs w:val="22"/>
        </w:rPr>
        <w:t>’s</w:t>
      </w:r>
      <w:r w:rsidRPr="00D73FC4">
        <w:rPr>
          <w:rFonts w:ascii="Times New Roman" w:hAnsi="Times New Roman" w:cs="Times New Roman"/>
          <w:sz w:val="22"/>
          <w:szCs w:val="22"/>
        </w:rPr>
        <w:t xml:space="preserve"> policies </w:t>
      </w:r>
      <w:r w:rsidRPr="0068730E">
        <w:rPr>
          <w:rFonts w:ascii="Times New Roman" w:hAnsi="Times New Roman" w:cs="Times New Roman"/>
          <w:sz w:val="22"/>
          <w:szCs w:val="22"/>
          <w:u w:val="single"/>
        </w:rPr>
        <w:t>are caused by fortuitous events outside of its control</w:t>
      </w:r>
      <w:r w:rsidRPr="00D73FC4">
        <w:rPr>
          <w:rFonts w:ascii="Times New Roman" w:hAnsi="Times New Roman" w:cs="Times New Roman"/>
          <w:sz w:val="22"/>
          <w:szCs w:val="22"/>
        </w:rPr>
        <w:t>.</w:t>
      </w:r>
      <w:r>
        <w:rPr>
          <w:rFonts w:ascii="Times New Roman" w:hAnsi="Times New Roman" w:cs="Times New Roman"/>
          <w:sz w:val="22"/>
          <w:szCs w:val="22"/>
        </w:rPr>
        <w:t>” (Emphasis added).</w:t>
      </w:r>
    </w:p>
    <w:p w14:paraId="3D65B8B0" w14:textId="77777777" w:rsidR="00FC046A" w:rsidRPr="00F322DF" w:rsidRDefault="00FC046A">
      <w:pPr>
        <w:pStyle w:val="EndnoteText"/>
        <w:rPr>
          <w:rFonts w:ascii="Times New Roman" w:hAnsi="Times New Roman" w:cs="Times New Roman"/>
          <w:sz w:val="22"/>
          <w:szCs w:val="22"/>
        </w:rPr>
      </w:pPr>
    </w:p>
  </w:endnote>
  <w:endnote w:id="60">
    <w:p w14:paraId="7E231C97" w14:textId="77777777" w:rsidR="00FC046A" w:rsidRDefault="00FC046A" w:rsidP="00CD5951">
      <w:pPr>
        <w:pStyle w:val="EndnoteText"/>
        <w:rPr>
          <w:rFonts w:ascii="Times New Roman" w:hAnsi="Times New Roman" w:cs="Times New Roman"/>
          <w:sz w:val="22"/>
          <w:szCs w:val="22"/>
        </w:rPr>
      </w:pPr>
      <w:r w:rsidRPr="00CD5951">
        <w:rPr>
          <w:rStyle w:val="EndnoteReference"/>
          <w:rFonts w:ascii="Times New Roman" w:hAnsi="Times New Roman" w:cs="Times New Roman"/>
          <w:sz w:val="22"/>
          <w:szCs w:val="22"/>
        </w:rPr>
        <w:endnoteRef/>
      </w:r>
      <w:r w:rsidRPr="00CD5951">
        <w:rPr>
          <w:rFonts w:ascii="Times New Roman" w:hAnsi="Times New Roman" w:cs="Times New Roman"/>
          <w:sz w:val="22"/>
          <w:szCs w:val="22"/>
        </w:rPr>
        <w:t xml:space="preserve"> 848 F.3d 779 (</w:t>
      </w:r>
      <w:r>
        <w:rPr>
          <w:rFonts w:ascii="Times New Roman" w:hAnsi="Times New Roman" w:cs="Times New Roman"/>
          <w:sz w:val="22"/>
          <w:szCs w:val="22"/>
        </w:rPr>
        <w:t xml:space="preserve">6th </w:t>
      </w:r>
      <w:r w:rsidRPr="00CD5951">
        <w:rPr>
          <w:rFonts w:ascii="Times New Roman" w:hAnsi="Times New Roman" w:cs="Times New Roman"/>
          <w:sz w:val="22"/>
          <w:szCs w:val="22"/>
        </w:rPr>
        <w:t>Cir. 2017).</w:t>
      </w:r>
    </w:p>
    <w:p w14:paraId="240CD839" w14:textId="77777777" w:rsidR="00FC046A" w:rsidRPr="00CD5951" w:rsidRDefault="00FC046A" w:rsidP="00CD5951">
      <w:pPr>
        <w:pStyle w:val="EndnoteText"/>
        <w:rPr>
          <w:rFonts w:ascii="Times New Roman" w:hAnsi="Times New Roman" w:cs="Times New Roman"/>
          <w:sz w:val="22"/>
          <w:szCs w:val="22"/>
        </w:rPr>
      </w:pPr>
    </w:p>
  </w:endnote>
  <w:endnote w:id="61">
    <w:p w14:paraId="1BCFD6DB" w14:textId="77777777" w:rsidR="00FC046A" w:rsidRDefault="00FC046A">
      <w:pPr>
        <w:pStyle w:val="EndnoteText"/>
        <w:rPr>
          <w:rFonts w:ascii="Times New Roman" w:hAnsi="Times New Roman" w:cs="Times New Roman"/>
          <w:sz w:val="22"/>
          <w:szCs w:val="22"/>
        </w:rPr>
      </w:pPr>
      <w:r w:rsidRPr="007F125B">
        <w:rPr>
          <w:rStyle w:val="EndnoteReference"/>
          <w:rFonts w:ascii="Times New Roman" w:hAnsi="Times New Roman" w:cs="Times New Roman"/>
          <w:sz w:val="22"/>
          <w:szCs w:val="22"/>
        </w:rPr>
        <w:endnoteRef/>
      </w:r>
      <w:r w:rsidRPr="007F125B">
        <w:rPr>
          <w:rFonts w:ascii="Times New Roman" w:hAnsi="Times New Roman" w:cs="Times New Roman"/>
          <w:sz w:val="22"/>
          <w:szCs w:val="22"/>
        </w:rPr>
        <w:t xml:space="preserve"> </w:t>
      </w:r>
      <w:r>
        <w:rPr>
          <w:rFonts w:ascii="Times New Roman" w:hAnsi="Times New Roman" w:cs="Times New Roman"/>
          <w:sz w:val="22"/>
          <w:szCs w:val="22"/>
        </w:rPr>
        <w:t xml:space="preserve">See </w:t>
      </w:r>
      <w:r w:rsidRPr="00B94736">
        <w:rPr>
          <w:rFonts w:ascii="Times New Roman" w:hAnsi="Times New Roman" w:cs="Times New Roman"/>
          <w:i/>
          <w:sz w:val="22"/>
          <w:szCs w:val="22"/>
        </w:rPr>
        <w:t>Summa</w:t>
      </w:r>
      <w:r>
        <w:rPr>
          <w:rFonts w:ascii="Times New Roman" w:hAnsi="Times New Roman" w:cs="Times New Roman"/>
          <w:sz w:val="22"/>
          <w:szCs w:val="22"/>
        </w:rPr>
        <w:t xml:space="preserve"> at 782.</w:t>
      </w:r>
    </w:p>
    <w:p w14:paraId="0F72425D" w14:textId="77777777" w:rsidR="00FC046A" w:rsidRPr="00843FEF" w:rsidRDefault="00FC046A">
      <w:pPr>
        <w:pStyle w:val="EndnoteText"/>
        <w:rPr>
          <w:rFonts w:ascii="Times New Roman" w:hAnsi="Times New Roman" w:cs="Times New Roman"/>
          <w:sz w:val="22"/>
          <w:szCs w:val="22"/>
        </w:rPr>
      </w:pPr>
    </w:p>
  </w:endnote>
  <w:endnote w:id="62">
    <w:p w14:paraId="2D68A31B" w14:textId="77777777" w:rsidR="00FC046A" w:rsidRPr="00F37C37" w:rsidRDefault="00FC046A">
      <w:pPr>
        <w:pStyle w:val="EndnoteText"/>
        <w:rPr>
          <w:rFonts w:ascii="Times New Roman" w:hAnsi="Times New Roman" w:cs="Times New Roman"/>
          <w:sz w:val="22"/>
          <w:szCs w:val="22"/>
        </w:rPr>
      </w:pPr>
      <w:r w:rsidRPr="00F37C37">
        <w:rPr>
          <w:rStyle w:val="EndnoteReference"/>
          <w:rFonts w:ascii="Times New Roman" w:hAnsi="Times New Roman" w:cs="Times New Roman"/>
          <w:sz w:val="22"/>
          <w:szCs w:val="22"/>
        </w:rPr>
        <w:endnoteRef/>
      </w:r>
      <w:r w:rsidRPr="00F37C37">
        <w:rPr>
          <w:rFonts w:ascii="Times New Roman" w:hAnsi="Times New Roman" w:cs="Times New Roman"/>
          <w:sz w:val="22"/>
          <w:szCs w:val="22"/>
        </w:rPr>
        <w:t xml:space="preserve"> 887 F.3d 511 (1st Cir. 2018).</w:t>
      </w:r>
    </w:p>
    <w:p w14:paraId="22461AED" w14:textId="77777777" w:rsidR="00FC046A" w:rsidRPr="00F37C37" w:rsidRDefault="00FC046A">
      <w:pPr>
        <w:pStyle w:val="EndnoteText"/>
        <w:rPr>
          <w:rFonts w:ascii="Times New Roman" w:hAnsi="Times New Roman" w:cs="Times New Roman"/>
          <w:sz w:val="22"/>
          <w:szCs w:val="22"/>
        </w:rPr>
      </w:pPr>
    </w:p>
  </w:endnote>
  <w:endnote w:id="63">
    <w:p w14:paraId="7683C0F3" w14:textId="77777777" w:rsidR="00FC046A" w:rsidRPr="00742B3E" w:rsidRDefault="00FC046A">
      <w:pPr>
        <w:pStyle w:val="EndnoteText"/>
        <w:rPr>
          <w:rFonts w:ascii="Times New Roman" w:hAnsi="Times New Roman" w:cs="Times New Roman"/>
          <w:sz w:val="22"/>
          <w:szCs w:val="22"/>
        </w:rPr>
      </w:pPr>
      <w:r w:rsidRPr="00742B3E">
        <w:rPr>
          <w:rStyle w:val="EndnoteReference"/>
          <w:rFonts w:ascii="Times New Roman" w:hAnsi="Times New Roman" w:cs="Times New Roman"/>
          <w:sz w:val="22"/>
          <w:szCs w:val="22"/>
        </w:rPr>
        <w:endnoteRef/>
      </w:r>
      <w:r w:rsidRPr="00742B3E">
        <w:rPr>
          <w:rFonts w:ascii="Times New Roman" w:hAnsi="Times New Roman" w:cs="Times New Roman"/>
          <w:sz w:val="22"/>
          <w:szCs w:val="22"/>
        </w:rPr>
        <w:t xml:space="preserve"> </w:t>
      </w:r>
      <w:r>
        <w:rPr>
          <w:rFonts w:ascii="Times New Roman" w:hAnsi="Times New Roman" w:cs="Times New Roman"/>
          <w:sz w:val="22"/>
          <w:szCs w:val="22"/>
        </w:rPr>
        <w:t xml:space="preserve">See </w:t>
      </w:r>
      <w:r w:rsidRPr="00F37C37">
        <w:rPr>
          <w:rFonts w:ascii="Times New Roman" w:hAnsi="Times New Roman" w:cs="Times New Roman"/>
          <w:i/>
          <w:sz w:val="22"/>
          <w:szCs w:val="22"/>
        </w:rPr>
        <w:t>Benenson</w:t>
      </w:r>
      <w:r>
        <w:rPr>
          <w:rFonts w:ascii="Times New Roman" w:hAnsi="Times New Roman" w:cs="Times New Roman"/>
          <w:sz w:val="22"/>
          <w:szCs w:val="22"/>
        </w:rPr>
        <w:t xml:space="preserve"> at 518.</w:t>
      </w:r>
    </w:p>
    <w:p w14:paraId="378E15BA" w14:textId="77777777" w:rsidR="00FC046A" w:rsidRPr="00742B3E" w:rsidRDefault="00FC046A">
      <w:pPr>
        <w:pStyle w:val="EndnoteText"/>
        <w:rPr>
          <w:rFonts w:ascii="Times New Roman" w:hAnsi="Times New Roman" w:cs="Times New Roman"/>
          <w:sz w:val="22"/>
          <w:szCs w:val="22"/>
        </w:rPr>
      </w:pPr>
    </w:p>
  </w:endnote>
  <w:endnote w:id="64">
    <w:p w14:paraId="60E44654" w14:textId="77777777" w:rsidR="00FC046A" w:rsidRDefault="00FC046A">
      <w:pPr>
        <w:pStyle w:val="EndnoteText"/>
        <w:rPr>
          <w:rFonts w:ascii="Times New Roman" w:hAnsi="Times New Roman" w:cs="Times New Roman"/>
          <w:sz w:val="22"/>
          <w:szCs w:val="22"/>
        </w:rPr>
      </w:pPr>
      <w:r w:rsidRPr="00F37C37">
        <w:rPr>
          <w:rStyle w:val="EndnoteReference"/>
          <w:rFonts w:ascii="Times New Roman" w:hAnsi="Times New Roman" w:cs="Times New Roman"/>
          <w:sz w:val="22"/>
          <w:szCs w:val="22"/>
        </w:rPr>
        <w:endnoteRef/>
      </w:r>
      <w:r w:rsidRPr="00F37C37">
        <w:rPr>
          <w:rFonts w:ascii="Times New Roman" w:hAnsi="Times New Roman" w:cs="Times New Roman"/>
          <w:sz w:val="22"/>
          <w:szCs w:val="22"/>
        </w:rPr>
        <w:t xml:space="preserve"> </w:t>
      </w:r>
      <w:r>
        <w:rPr>
          <w:rFonts w:ascii="Times New Roman" w:hAnsi="Times New Roman" w:cs="Times New Roman"/>
          <w:sz w:val="22"/>
          <w:szCs w:val="22"/>
        </w:rPr>
        <w:t xml:space="preserve">See </w:t>
      </w:r>
      <w:r w:rsidRPr="00F37C37">
        <w:rPr>
          <w:rFonts w:ascii="Times New Roman" w:hAnsi="Times New Roman" w:cs="Times New Roman"/>
          <w:i/>
          <w:sz w:val="22"/>
          <w:szCs w:val="22"/>
        </w:rPr>
        <w:t>Benenson</w:t>
      </w:r>
      <w:r>
        <w:rPr>
          <w:rFonts w:ascii="Times New Roman" w:hAnsi="Times New Roman" w:cs="Times New Roman"/>
          <w:sz w:val="22"/>
          <w:szCs w:val="22"/>
        </w:rPr>
        <w:t xml:space="preserve"> at 523.</w:t>
      </w:r>
    </w:p>
    <w:p w14:paraId="306AE27A" w14:textId="77777777" w:rsidR="00FC046A" w:rsidRPr="00F37C37" w:rsidRDefault="00FC046A">
      <w:pPr>
        <w:pStyle w:val="EndnoteText"/>
        <w:rPr>
          <w:rFonts w:ascii="Times New Roman" w:hAnsi="Times New Roman" w:cs="Times New Roman"/>
          <w:sz w:val="22"/>
          <w:szCs w:val="22"/>
        </w:rPr>
      </w:pPr>
    </w:p>
  </w:endnote>
  <w:endnote w:id="65">
    <w:p w14:paraId="0F7F339F" w14:textId="77777777" w:rsidR="00FC046A" w:rsidRDefault="00FC046A">
      <w:pPr>
        <w:pStyle w:val="EndnoteText"/>
        <w:rPr>
          <w:rFonts w:ascii="Times New Roman" w:hAnsi="Times New Roman" w:cs="Times New Roman"/>
          <w:sz w:val="22"/>
          <w:szCs w:val="22"/>
        </w:rPr>
      </w:pPr>
      <w:r w:rsidRPr="00BE4CEB">
        <w:rPr>
          <w:rStyle w:val="EndnoteReference"/>
          <w:rFonts w:ascii="Times New Roman" w:hAnsi="Times New Roman" w:cs="Times New Roman"/>
          <w:sz w:val="22"/>
          <w:szCs w:val="22"/>
        </w:rPr>
        <w:endnoteRef/>
      </w:r>
      <w:r w:rsidRPr="00BE4CEB">
        <w:rPr>
          <w:rFonts w:ascii="Times New Roman" w:hAnsi="Times New Roman" w:cs="Times New Roman"/>
          <w:sz w:val="22"/>
          <w:szCs w:val="22"/>
        </w:rPr>
        <w:t xml:space="preserve"> See IRC Section 501(c)(15)(A)</w:t>
      </w:r>
      <w:r>
        <w:rPr>
          <w:rFonts w:ascii="Times New Roman" w:hAnsi="Times New Roman" w:cs="Times New Roman"/>
          <w:sz w:val="22"/>
          <w:szCs w:val="22"/>
        </w:rPr>
        <w:t>(i)</w:t>
      </w:r>
      <w:r w:rsidRPr="00BE4CEB">
        <w:rPr>
          <w:rFonts w:ascii="Times New Roman" w:hAnsi="Times New Roman" w:cs="Times New Roman"/>
          <w:sz w:val="22"/>
          <w:szCs w:val="22"/>
        </w:rPr>
        <w:t>(I) and IRC Section 501(c)(15)(A)</w:t>
      </w:r>
      <w:r>
        <w:rPr>
          <w:rFonts w:ascii="Times New Roman" w:hAnsi="Times New Roman" w:cs="Times New Roman"/>
          <w:sz w:val="22"/>
          <w:szCs w:val="22"/>
        </w:rPr>
        <w:t>(i)</w:t>
      </w:r>
      <w:r w:rsidRPr="00BE4CEB">
        <w:rPr>
          <w:rFonts w:ascii="Times New Roman" w:hAnsi="Times New Roman" w:cs="Times New Roman"/>
          <w:sz w:val="22"/>
          <w:szCs w:val="22"/>
        </w:rPr>
        <w:t>(II)</w:t>
      </w:r>
      <w:r>
        <w:rPr>
          <w:rFonts w:ascii="Times New Roman" w:hAnsi="Times New Roman" w:cs="Times New Roman"/>
          <w:sz w:val="22"/>
          <w:szCs w:val="22"/>
        </w:rPr>
        <w:t>.</w:t>
      </w:r>
    </w:p>
    <w:p w14:paraId="1DEC1150" w14:textId="77777777" w:rsidR="00FC046A" w:rsidRPr="00812491" w:rsidRDefault="00FC046A">
      <w:pPr>
        <w:pStyle w:val="EndnoteText"/>
        <w:rPr>
          <w:rFonts w:ascii="Times New Roman" w:hAnsi="Times New Roman" w:cs="Times New Roman"/>
          <w:sz w:val="22"/>
          <w:szCs w:val="22"/>
        </w:rPr>
      </w:pPr>
    </w:p>
  </w:endnote>
  <w:endnote w:id="66">
    <w:p w14:paraId="0DC10F8F" w14:textId="02E48303" w:rsidR="00FC046A" w:rsidRPr="00E05B6D" w:rsidRDefault="00FC046A">
      <w:pPr>
        <w:pStyle w:val="EndnoteText"/>
        <w:rPr>
          <w:rFonts w:ascii="Times New Roman" w:hAnsi="Times New Roman" w:cs="Times New Roman"/>
          <w:sz w:val="22"/>
          <w:szCs w:val="22"/>
        </w:rPr>
      </w:pPr>
      <w:r w:rsidRPr="00E05B6D">
        <w:rPr>
          <w:rStyle w:val="EndnoteReference"/>
          <w:rFonts w:ascii="Times New Roman" w:hAnsi="Times New Roman" w:cs="Times New Roman"/>
          <w:sz w:val="22"/>
          <w:szCs w:val="22"/>
        </w:rPr>
        <w:endnoteRef/>
      </w:r>
      <w:r w:rsidRPr="00E05B6D">
        <w:rPr>
          <w:rFonts w:ascii="Times New Roman" w:hAnsi="Times New Roman" w:cs="Times New Roman"/>
          <w:sz w:val="22"/>
          <w:szCs w:val="22"/>
        </w:rPr>
        <w:t xml:space="preserve"> See IRC Section </w:t>
      </w:r>
      <w:r>
        <w:rPr>
          <w:rFonts w:ascii="Times New Roman" w:hAnsi="Times New Roman" w:cs="Times New Roman"/>
          <w:sz w:val="22"/>
          <w:szCs w:val="22"/>
        </w:rPr>
        <w:t xml:space="preserve">331(a).  </w:t>
      </w:r>
      <w:r w:rsidRPr="00AC0295">
        <w:rPr>
          <w:rFonts w:ascii="Times New Roman" w:hAnsi="Times New Roman" w:cs="Times New Roman"/>
          <w:sz w:val="22"/>
          <w:szCs w:val="22"/>
        </w:rPr>
        <w:t xml:space="preserve">Amounts received by a shareholder in a distribution in complete liquidation of a corporation </w:t>
      </w:r>
      <w:r>
        <w:rPr>
          <w:rFonts w:ascii="Times New Roman" w:hAnsi="Times New Roman" w:cs="Times New Roman"/>
          <w:sz w:val="22"/>
          <w:szCs w:val="22"/>
        </w:rPr>
        <w:t xml:space="preserve">are </w:t>
      </w:r>
      <w:r w:rsidRPr="00AC0295">
        <w:rPr>
          <w:rFonts w:ascii="Times New Roman" w:hAnsi="Times New Roman" w:cs="Times New Roman"/>
          <w:sz w:val="22"/>
          <w:szCs w:val="22"/>
        </w:rPr>
        <w:t>treated as in full payment in exchange for the stock</w:t>
      </w:r>
      <w:r>
        <w:rPr>
          <w:rFonts w:ascii="Times New Roman" w:hAnsi="Times New Roman" w:cs="Times New Roman"/>
          <w:sz w:val="22"/>
          <w:szCs w:val="22"/>
        </w:rPr>
        <w:t xml:space="preserve"> of such corporation</w:t>
      </w:r>
      <w:r w:rsidRPr="00AC0295">
        <w:rPr>
          <w:rFonts w:ascii="Times New Roman" w:hAnsi="Times New Roman" w:cs="Times New Roman"/>
          <w:sz w:val="22"/>
          <w:szCs w:val="22"/>
        </w:rPr>
        <w:t>.</w:t>
      </w:r>
      <w:r>
        <w:rPr>
          <w:rFonts w:ascii="Times New Roman" w:hAnsi="Times New Roman" w:cs="Times New Roman"/>
          <w:sz w:val="22"/>
          <w:szCs w:val="22"/>
        </w:rPr>
        <w:t xml:space="preserve">  </w:t>
      </w:r>
    </w:p>
    <w:p w14:paraId="367C05AD" w14:textId="77777777" w:rsidR="00FC046A" w:rsidRPr="00E05B6D" w:rsidRDefault="00FC046A">
      <w:pPr>
        <w:pStyle w:val="EndnoteText"/>
        <w:rPr>
          <w:rFonts w:ascii="Times New Roman" w:hAnsi="Times New Roman" w:cs="Times New Roman"/>
          <w:sz w:val="22"/>
          <w:szCs w:val="22"/>
        </w:rPr>
      </w:pPr>
    </w:p>
  </w:endnote>
  <w:endnote w:id="67">
    <w:p w14:paraId="3628DE5A" w14:textId="152D2CB8" w:rsidR="00FC046A" w:rsidRPr="003669AE" w:rsidRDefault="00FC046A" w:rsidP="00C16BA2">
      <w:pPr>
        <w:pStyle w:val="EndnoteText"/>
        <w:jc w:val="both"/>
        <w:rPr>
          <w:rFonts w:ascii="Times New Roman" w:eastAsia="Calibri" w:hAnsi="Times New Roman" w:cs="Times New Roman"/>
          <w:spacing w:val="-5"/>
          <w:sz w:val="22"/>
          <w:szCs w:val="22"/>
        </w:rPr>
      </w:pPr>
      <w:r w:rsidRPr="003669AE">
        <w:rPr>
          <w:rStyle w:val="EndnoteReference"/>
          <w:rFonts w:ascii="Times New Roman" w:hAnsi="Times New Roman" w:cs="Times New Roman"/>
          <w:sz w:val="22"/>
          <w:szCs w:val="22"/>
        </w:rPr>
        <w:endnoteRef/>
      </w:r>
      <w:r w:rsidRPr="003669AE">
        <w:rPr>
          <w:rFonts w:ascii="Times New Roman" w:hAnsi="Times New Roman" w:cs="Times New Roman"/>
          <w:sz w:val="22"/>
          <w:szCs w:val="22"/>
        </w:rPr>
        <w:t xml:space="preserve"> </w:t>
      </w:r>
      <w:r>
        <w:rPr>
          <w:rFonts w:ascii="Times New Roman" w:eastAsia="Calibri" w:hAnsi="Times New Roman" w:cs="Times New Roman"/>
          <w:sz w:val="22"/>
          <w:szCs w:val="22"/>
        </w:rPr>
        <w:t>See</w:t>
      </w:r>
      <w:r w:rsidRPr="003669AE">
        <w:rPr>
          <w:rFonts w:ascii="Times New Roman" w:eastAsia="Calibri" w:hAnsi="Times New Roman" w:cs="Times New Roman"/>
          <w:sz w:val="22"/>
          <w:szCs w:val="22"/>
        </w:rPr>
        <w:t xml:space="preserve"> </w:t>
      </w:r>
      <w:r w:rsidRPr="003669AE">
        <w:rPr>
          <w:rFonts w:ascii="Times New Roman" w:eastAsia="Calibri" w:hAnsi="Times New Roman" w:cs="Times New Roman"/>
          <w:i/>
          <w:sz w:val="22"/>
          <w:szCs w:val="22"/>
        </w:rPr>
        <w:t>Securitas Holdings, Inc. &amp; Subsidiaries v. Commissioner of Internal Revenue</w:t>
      </w:r>
      <w:r w:rsidRPr="003669AE">
        <w:rPr>
          <w:rFonts w:ascii="Times New Roman" w:eastAsia="Calibri" w:hAnsi="Times New Roman" w:cs="Times New Roman"/>
          <w:sz w:val="22"/>
          <w:szCs w:val="22"/>
        </w:rPr>
        <w:t xml:space="preserve">, T.C. Memo 2014-225; </w:t>
      </w:r>
      <w:r w:rsidRPr="003669AE">
        <w:rPr>
          <w:rFonts w:ascii="Times New Roman" w:eastAsia="Calibri" w:hAnsi="Times New Roman" w:cs="Times New Roman"/>
          <w:i/>
          <w:sz w:val="22"/>
          <w:szCs w:val="22"/>
        </w:rPr>
        <w:t>Rent-A-Center, Inc. &amp; Affiliated Subsidiaries v. Commissioner of Internal Revenue</w:t>
      </w:r>
      <w:r w:rsidRPr="003669AE">
        <w:rPr>
          <w:rFonts w:ascii="Times New Roman" w:eastAsia="Calibri" w:hAnsi="Times New Roman" w:cs="Times New Roman"/>
          <w:sz w:val="22"/>
          <w:szCs w:val="22"/>
        </w:rPr>
        <w:t xml:space="preserve">, 142 T.C. 1 (2014); </w:t>
      </w:r>
      <w:r w:rsidRPr="003669AE">
        <w:rPr>
          <w:rFonts w:ascii="Times New Roman" w:eastAsia="Calibri" w:hAnsi="Times New Roman" w:cs="Times New Roman"/>
          <w:i/>
          <w:sz w:val="22"/>
          <w:szCs w:val="22"/>
        </w:rPr>
        <w:t>United Parcel Service of America, Inc. v. Commissioner</w:t>
      </w:r>
      <w:r w:rsidRPr="003669AE">
        <w:rPr>
          <w:rFonts w:ascii="Times New Roman" w:eastAsia="Calibri" w:hAnsi="Times New Roman" w:cs="Times New Roman"/>
          <w:sz w:val="22"/>
          <w:szCs w:val="22"/>
        </w:rPr>
        <w:t>, TC Memo 1999-268, 78 TCM 262, rev</w:t>
      </w:r>
      <w:r>
        <w:rPr>
          <w:rFonts w:ascii="Times New Roman" w:eastAsia="Calibri" w:hAnsi="Times New Roman" w:cs="Times New Roman"/>
          <w:sz w:val="22"/>
          <w:szCs w:val="22"/>
        </w:rPr>
        <w:t>’</w:t>
      </w:r>
      <w:r w:rsidRPr="003669AE">
        <w:rPr>
          <w:rFonts w:ascii="Times New Roman" w:eastAsia="Calibri" w:hAnsi="Times New Roman" w:cs="Times New Roman"/>
          <w:sz w:val="22"/>
          <w:szCs w:val="22"/>
        </w:rPr>
        <w:t xml:space="preserve">d 254 F3d 1014 (11th Cir. 2001); </w:t>
      </w:r>
      <w:r w:rsidRPr="003669AE">
        <w:rPr>
          <w:rFonts w:ascii="Times New Roman" w:eastAsia="Calibri" w:hAnsi="Times New Roman" w:cs="Times New Roman"/>
          <w:i/>
          <w:sz w:val="22"/>
          <w:szCs w:val="22"/>
        </w:rPr>
        <w:t>Hospital Corporation of America v. Commissioner</w:t>
      </w:r>
      <w:r w:rsidRPr="003669AE">
        <w:rPr>
          <w:rFonts w:ascii="Times New Roman" w:eastAsia="Calibri" w:hAnsi="Times New Roman" w:cs="Times New Roman"/>
          <w:sz w:val="22"/>
          <w:szCs w:val="22"/>
        </w:rPr>
        <w:t xml:space="preserve">, T.C. Memo 1997-482 (1997); </w:t>
      </w:r>
      <w:r w:rsidRPr="003669AE">
        <w:rPr>
          <w:rFonts w:ascii="Times New Roman" w:eastAsia="Calibri" w:hAnsi="Times New Roman" w:cs="Times New Roman"/>
          <w:i/>
          <w:sz w:val="22"/>
          <w:szCs w:val="22"/>
        </w:rPr>
        <w:t>Kidde Industries, Inc.  v.  United States</w:t>
      </w:r>
      <w:r w:rsidRPr="003669AE">
        <w:rPr>
          <w:rFonts w:ascii="Times New Roman" w:eastAsia="Calibri" w:hAnsi="Times New Roman" w:cs="Times New Roman"/>
          <w:sz w:val="22"/>
          <w:szCs w:val="22"/>
        </w:rPr>
        <w:t xml:space="preserve">, 40 Fed. Cl. 42 (1997); </w:t>
      </w:r>
      <w:r w:rsidRPr="003669AE">
        <w:rPr>
          <w:rFonts w:ascii="Times New Roman" w:eastAsia="Calibri" w:hAnsi="Times New Roman" w:cs="Times New Roman"/>
          <w:i/>
          <w:sz w:val="22"/>
          <w:szCs w:val="22"/>
        </w:rPr>
        <w:t>Ocean Drilling &amp; Exploration Co. v. U.S.</w:t>
      </w:r>
      <w:r w:rsidRPr="003669AE">
        <w:rPr>
          <w:rFonts w:ascii="Times New Roman" w:eastAsia="Calibri" w:hAnsi="Times New Roman" w:cs="Times New Roman"/>
          <w:sz w:val="22"/>
          <w:szCs w:val="22"/>
        </w:rPr>
        <w:t>,</w:t>
      </w:r>
      <w:r w:rsidRPr="003669AE">
        <w:rPr>
          <w:rFonts w:ascii="Georgia" w:eastAsia="Calibri" w:hAnsi="Georgia" w:cs="Times New Roman"/>
          <w:sz w:val="22"/>
          <w:szCs w:val="22"/>
        </w:rPr>
        <w:t xml:space="preserve"> </w:t>
      </w:r>
      <w:r w:rsidRPr="003669AE">
        <w:rPr>
          <w:rFonts w:ascii="Times New Roman" w:eastAsia="Calibri" w:hAnsi="Times New Roman" w:cs="Times New Roman"/>
          <w:sz w:val="22"/>
          <w:szCs w:val="22"/>
        </w:rPr>
        <w:t xml:space="preserve">24 Cl. Ct. 714, 92-1 (Fed. Cl. 1991), aff'd per cur. 988 F2d 1135 (Fed. Cir. 1993); </w:t>
      </w:r>
      <w:r w:rsidRPr="003669AE">
        <w:rPr>
          <w:rFonts w:ascii="Times New Roman" w:eastAsia="Calibri" w:hAnsi="Times New Roman" w:cs="Times New Roman"/>
          <w:i/>
          <w:sz w:val="22"/>
          <w:szCs w:val="22"/>
        </w:rPr>
        <w:t>Harper Group v. Commissioner</w:t>
      </w:r>
      <w:r w:rsidRPr="003669AE">
        <w:rPr>
          <w:rFonts w:ascii="Times New Roman" w:eastAsia="Calibri" w:hAnsi="Times New Roman" w:cs="Times New Roman"/>
          <w:sz w:val="22"/>
          <w:szCs w:val="22"/>
        </w:rPr>
        <w:t xml:space="preserve">, 96 T.C. 45 at 60 (1991), aff’d, 979 F.2d 1341 (9th Cir. 1992); </w:t>
      </w:r>
      <w:r w:rsidRPr="003669AE">
        <w:rPr>
          <w:rFonts w:ascii="Times New Roman" w:eastAsia="Calibri" w:hAnsi="Times New Roman" w:cs="Times New Roman"/>
          <w:i/>
          <w:iCs/>
          <w:spacing w:val="-5"/>
          <w:sz w:val="22"/>
          <w:szCs w:val="22"/>
        </w:rPr>
        <w:t>AMERCO v. Commissioner</w:t>
      </w:r>
      <w:r w:rsidRPr="003669AE">
        <w:rPr>
          <w:rFonts w:ascii="Times New Roman" w:eastAsia="Calibri" w:hAnsi="Times New Roman" w:cs="Times New Roman"/>
          <w:spacing w:val="-5"/>
          <w:sz w:val="22"/>
          <w:szCs w:val="22"/>
        </w:rPr>
        <w:t xml:space="preserve">, 96 T.C. 18 at 42 (1991), aff’d 979 F.2d 162 (9th Cir. 1992); </w:t>
      </w:r>
      <w:r w:rsidRPr="003669AE">
        <w:rPr>
          <w:rFonts w:ascii="Times New Roman" w:eastAsia="Calibri" w:hAnsi="Times New Roman" w:cs="Times New Roman"/>
          <w:i/>
          <w:spacing w:val="-5"/>
          <w:sz w:val="22"/>
          <w:szCs w:val="22"/>
        </w:rPr>
        <w:t>Humana, Inc. v. Commissioner</w:t>
      </w:r>
      <w:r w:rsidRPr="003669AE">
        <w:rPr>
          <w:rFonts w:ascii="Times New Roman" w:eastAsia="Calibri" w:hAnsi="Times New Roman" w:cs="Times New Roman"/>
          <w:spacing w:val="-5"/>
          <w:sz w:val="22"/>
          <w:szCs w:val="22"/>
        </w:rPr>
        <w:t xml:space="preserve">, 881 F.2d 247 (6th Cir. 1989); and </w:t>
      </w:r>
      <w:r w:rsidRPr="003669AE">
        <w:rPr>
          <w:rFonts w:ascii="Times New Roman" w:eastAsia="Calibri" w:hAnsi="Times New Roman" w:cs="Times New Roman"/>
          <w:i/>
          <w:spacing w:val="-5"/>
          <w:sz w:val="22"/>
          <w:szCs w:val="22"/>
        </w:rPr>
        <w:t>R.V.I. Guaranty Co. v. Commissioner</w:t>
      </w:r>
      <w:r w:rsidRPr="003669AE">
        <w:rPr>
          <w:rFonts w:ascii="Times New Roman" w:eastAsia="Calibri" w:hAnsi="Times New Roman" w:cs="Times New Roman"/>
          <w:spacing w:val="-5"/>
          <w:sz w:val="22"/>
          <w:szCs w:val="22"/>
        </w:rPr>
        <w:t>, 145 TC No. 9 (Sept. 21, 2015).</w:t>
      </w:r>
    </w:p>
    <w:p w14:paraId="383FA405" w14:textId="77777777" w:rsidR="00FC046A" w:rsidRPr="003669AE" w:rsidRDefault="00FC046A">
      <w:pPr>
        <w:pStyle w:val="EndnoteText"/>
        <w:rPr>
          <w:rFonts w:ascii="Times New Roman" w:hAnsi="Times New Roman" w:cs="Times New Roman"/>
          <w:sz w:val="22"/>
          <w:szCs w:val="22"/>
        </w:rPr>
      </w:pPr>
    </w:p>
  </w:endnote>
  <w:endnote w:id="68">
    <w:p w14:paraId="0460E689" w14:textId="4BDD3A20" w:rsidR="00FC046A" w:rsidRDefault="00FC046A">
      <w:pPr>
        <w:pStyle w:val="EndnoteText"/>
        <w:rPr>
          <w:rFonts w:ascii="Times New Roman" w:hAnsi="Times New Roman" w:cs="Times New Roman"/>
          <w:sz w:val="22"/>
          <w:szCs w:val="22"/>
        </w:rPr>
      </w:pPr>
      <w:r w:rsidRPr="00BE4CEB">
        <w:rPr>
          <w:rStyle w:val="EndnoteReference"/>
          <w:rFonts w:ascii="Times New Roman" w:hAnsi="Times New Roman" w:cs="Times New Roman"/>
          <w:sz w:val="22"/>
          <w:szCs w:val="22"/>
        </w:rPr>
        <w:endnoteRef/>
      </w:r>
      <w:r w:rsidRPr="00BE4CEB">
        <w:rPr>
          <w:rFonts w:ascii="Times New Roman" w:hAnsi="Times New Roman" w:cs="Times New Roman"/>
          <w:sz w:val="22"/>
          <w:szCs w:val="22"/>
        </w:rPr>
        <w:t xml:space="preserve"> 149 T.C. No. 7 (August 21, 2017).</w:t>
      </w:r>
    </w:p>
    <w:p w14:paraId="010BC3E8" w14:textId="77777777" w:rsidR="00FC046A" w:rsidRPr="006F2194" w:rsidRDefault="00FC046A">
      <w:pPr>
        <w:pStyle w:val="EndnoteText"/>
        <w:rPr>
          <w:rFonts w:ascii="Times New Roman" w:hAnsi="Times New Roman" w:cs="Times New Roman"/>
          <w:sz w:val="22"/>
          <w:szCs w:val="22"/>
        </w:rPr>
      </w:pPr>
    </w:p>
  </w:endnote>
  <w:endnote w:id="69">
    <w:p w14:paraId="050E600B" w14:textId="4A230AC1" w:rsidR="00FC046A" w:rsidRPr="00DD1D24" w:rsidRDefault="00FC046A" w:rsidP="00531E32">
      <w:pPr>
        <w:pStyle w:val="EndnoteText"/>
        <w:rPr>
          <w:rFonts w:ascii="Times New Roman" w:hAnsi="Times New Roman" w:cs="Times New Roman"/>
          <w:sz w:val="22"/>
          <w:szCs w:val="22"/>
        </w:rPr>
      </w:pPr>
      <w:r w:rsidRPr="00420275">
        <w:rPr>
          <w:rStyle w:val="EndnoteReference"/>
          <w:rFonts w:ascii="Times New Roman" w:hAnsi="Times New Roman" w:cs="Times New Roman"/>
          <w:sz w:val="22"/>
          <w:szCs w:val="22"/>
        </w:rPr>
        <w:endnoteRef/>
      </w:r>
      <w:r w:rsidRPr="00420275">
        <w:rPr>
          <w:rFonts w:ascii="Times New Roman" w:hAnsi="Times New Roman" w:cs="Times New Roman"/>
          <w:sz w:val="22"/>
          <w:szCs w:val="22"/>
        </w:rPr>
        <w:t xml:space="preserve"> See </w:t>
      </w:r>
      <w:r>
        <w:rPr>
          <w:rFonts w:ascii="Times New Roman" w:hAnsi="Times New Roman" w:cs="Times New Roman"/>
          <w:sz w:val="22"/>
          <w:szCs w:val="22"/>
        </w:rPr>
        <w:t xml:space="preserve">also </w:t>
      </w:r>
      <w:r w:rsidRPr="00420275">
        <w:rPr>
          <w:rFonts w:ascii="Times New Roman" w:hAnsi="Times New Roman" w:cs="Times New Roman"/>
          <w:sz w:val="22"/>
          <w:szCs w:val="22"/>
        </w:rPr>
        <w:t xml:space="preserve">testimony of Dr. </w:t>
      </w:r>
      <w:r w:rsidRPr="00DD1D24">
        <w:rPr>
          <w:rFonts w:ascii="Times New Roman" w:hAnsi="Times New Roman" w:cs="Times New Roman"/>
          <w:sz w:val="22"/>
          <w:szCs w:val="22"/>
        </w:rPr>
        <w:t xml:space="preserve">Neil Doherty, </w:t>
      </w:r>
      <w:r>
        <w:rPr>
          <w:rFonts w:ascii="Times New Roman" w:hAnsi="Times New Roman" w:cs="Times New Roman"/>
          <w:sz w:val="22"/>
          <w:szCs w:val="22"/>
        </w:rPr>
        <w:t>Tr.</w:t>
      </w:r>
      <w:r w:rsidRPr="00DD1D24">
        <w:rPr>
          <w:rFonts w:ascii="Times New Roman" w:hAnsi="Times New Roman" w:cs="Times New Roman"/>
          <w:sz w:val="22"/>
          <w:szCs w:val="22"/>
        </w:rPr>
        <w:t xml:space="preserve"> at 235-236 and Exhibit 104-P (Expert Report of Dr. Neil Doherty, dated March 27, 2017), </w:t>
      </w:r>
      <w:r>
        <w:rPr>
          <w:rFonts w:ascii="Times New Roman" w:hAnsi="Times New Roman" w:cs="Times New Roman"/>
          <w:sz w:val="22"/>
          <w:szCs w:val="22"/>
        </w:rPr>
        <w:t xml:space="preserve">at </w:t>
      </w:r>
      <w:r w:rsidRPr="00DD1D24">
        <w:rPr>
          <w:rFonts w:ascii="Times New Roman" w:hAnsi="Times New Roman" w:cs="Times New Roman"/>
          <w:sz w:val="22"/>
          <w:szCs w:val="22"/>
        </w:rPr>
        <w:t>14-15</w:t>
      </w:r>
      <w:r>
        <w:rPr>
          <w:rFonts w:ascii="Times New Roman" w:hAnsi="Times New Roman" w:cs="Times New Roman"/>
          <w:sz w:val="22"/>
          <w:szCs w:val="22"/>
        </w:rPr>
        <w:t xml:space="preserve">, where </w:t>
      </w:r>
      <w:r w:rsidRPr="00DD1D24">
        <w:rPr>
          <w:rFonts w:ascii="Times New Roman" w:hAnsi="Times New Roman" w:cs="Times New Roman"/>
          <w:sz w:val="22"/>
          <w:szCs w:val="22"/>
        </w:rPr>
        <w:t xml:space="preserve">Dr. Doherty explained this industry standard concept of “layering risk” </w:t>
      </w:r>
      <w:r>
        <w:rPr>
          <w:rFonts w:ascii="Times New Roman" w:hAnsi="Times New Roman" w:cs="Times New Roman"/>
          <w:sz w:val="22"/>
          <w:szCs w:val="22"/>
        </w:rPr>
        <w:t>as follows: “</w:t>
      </w:r>
      <w:r w:rsidRPr="00282AF7">
        <w:rPr>
          <w:rFonts w:ascii="Times New Roman" w:hAnsi="Times New Roman" w:cs="Times New Roman"/>
          <w:sz w:val="22"/>
          <w:szCs w:val="22"/>
        </w:rPr>
        <w:t xml:space="preserve">Under the [Reserve insurance] program, the [insured affiliate] insures part of its insurable exposures with its captive and part with an outside insurer, PoolRe. This breakdown between the captive and PoolRe is interesting and reflects a common insurance practice of layering risk. Each member of the Capstone program insures losses up to some threshold with its own captive. Or, in other words, the first layer of each member’s losses </w:t>
      </w:r>
      <w:r>
        <w:rPr>
          <w:rFonts w:ascii="Times New Roman" w:hAnsi="Times New Roman" w:cs="Times New Roman"/>
          <w:sz w:val="22"/>
          <w:szCs w:val="22"/>
        </w:rPr>
        <w:t xml:space="preserve">is </w:t>
      </w:r>
      <w:r w:rsidRPr="00282AF7">
        <w:rPr>
          <w:rFonts w:ascii="Times New Roman" w:hAnsi="Times New Roman" w:cs="Times New Roman"/>
          <w:sz w:val="22"/>
          <w:szCs w:val="22"/>
        </w:rPr>
        <w:t>insured with its own captive. Each member then insures losses above the threshold (the higher layer) with PoolRe.  Thus, PoolRe insures the larger losses (or larger accumulations of claims) incurred by each member, leaving the smaller (and unaccumulated) losses with the captive.</w:t>
      </w:r>
      <w:r>
        <w:rPr>
          <w:rFonts w:ascii="Times New Roman" w:hAnsi="Times New Roman" w:cs="Times New Roman"/>
          <w:sz w:val="22"/>
          <w:szCs w:val="22"/>
        </w:rPr>
        <w:t>”</w:t>
      </w:r>
    </w:p>
    <w:p w14:paraId="13873F3F" w14:textId="77777777" w:rsidR="00FC046A" w:rsidRPr="00B47873" w:rsidRDefault="00FC046A" w:rsidP="00531E32">
      <w:pPr>
        <w:pStyle w:val="EndnoteText"/>
        <w:rPr>
          <w:rFonts w:ascii="Times New Roman" w:hAnsi="Times New Roman" w:cs="Times New Roman"/>
          <w:sz w:val="22"/>
          <w:szCs w:val="22"/>
        </w:rPr>
      </w:pPr>
    </w:p>
  </w:endnote>
  <w:endnote w:id="70">
    <w:p w14:paraId="537A3170" w14:textId="4A183C76" w:rsidR="00FC046A" w:rsidRPr="00B47873" w:rsidRDefault="00FC046A">
      <w:pPr>
        <w:pStyle w:val="EndnoteText"/>
        <w:rPr>
          <w:rFonts w:ascii="Times New Roman" w:hAnsi="Times New Roman" w:cs="Times New Roman"/>
          <w:sz w:val="22"/>
          <w:szCs w:val="22"/>
        </w:rPr>
      </w:pPr>
      <w:r w:rsidRPr="00B47873">
        <w:rPr>
          <w:rStyle w:val="EndnoteReference"/>
          <w:rFonts w:ascii="Times New Roman" w:hAnsi="Times New Roman" w:cs="Times New Roman"/>
          <w:sz w:val="22"/>
          <w:szCs w:val="22"/>
        </w:rPr>
        <w:endnoteRef/>
      </w:r>
      <w:r w:rsidRPr="00B47873">
        <w:rPr>
          <w:rFonts w:ascii="Times New Roman" w:hAnsi="Times New Roman" w:cs="Times New Roman"/>
          <w:sz w:val="22"/>
          <w:szCs w:val="22"/>
        </w:rPr>
        <w:t xml:space="preserve"> </w:t>
      </w:r>
      <w:r w:rsidRPr="00E60FA5">
        <w:rPr>
          <w:rFonts w:ascii="Times New Roman" w:hAnsi="Times New Roman" w:cs="Times New Roman"/>
          <w:sz w:val="22"/>
          <w:szCs w:val="22"/>
        </w:rPr>
        <w:t xml:space="preserve">See testimony of Lance McNeel, </w:t>
      </w:r>
      <w:r>
        <w:rPr>
          <w:rFonts w:ascii="Times New Roman" w:hAnsi="Times New Roman" w:cs="Times New Roman"/>
          <w:sz w:val="22"/>
          <w:szCs w:val="22"/>
        </w:rPr>
        <w:t xml:space="preserve">Tr. at </w:t>
      </w:r>
      <w:r w:rsidRPr="00E60FA5">
        <w:rPr>
          <w:rFonts w:ascii="Times New Roman" w:hAnsi="Times New Roman" w:cs="Times New Roman"/>
          <w:sz w:val="22"/>
          <w:szCs w:val="22"/>
        </w:rPr>
        <w:t>3</w:t>
      </w:r>
      <w:r>
        <w:rPr>
          <w:rFonts w:ascii="Times New Roman" w:hAnsi="Times New Roman" w:cs="Times New Roman"/>
          <w:sz w:val="22"/>
          <w:szCs w:val="22"/>
        </w:rPr>
        <w:t>55</w:t>
      </w:r>
      <w:r w:rsidRPr="00E60FA5">
        <w:rPr>
          <w:rFonts w:ascii="Times New Roman" w:hAnsi="Times New Roman" w:cs="Times New Roman"/>
          <w:sz w:val="22"/>
          <w:szCs w:val="22"/>
        </w:rPr>
        <w:t>-3</w:t>
      </w:r>
      <w:r>
        <w:rPr>
          <w:rFonts w:ascii="Times New Roman" w:hAnsi="Times New Roman" w:cs="Times New Roman"/>
          <w:sz w:val="22"/>
          <w:szCs w:val="22"/>
        </w:rPr>
        <w:t>57, discussing Capstone’s underwriter’s pricing procedures and factors considered with respect to evolving insurance policy pricing policies for year-to-year.</w:t>
      </w:r>
    </w:p>
    <w:p w14:paraId="6BD9D381" w14:textId="77777777" w:rsidR="00FC046A" w:rsidRPr="00B47873" w:rsidRDefault="00FC046A">
      <w:pPr>
        <w:pStyle w:val="EndnoteText"/>
        <w:rPr>
          <w:rFonts w:ascii="Times New Roman" w:hAnsi="Times New Roman" w:cs="Times New Roman"/>
          <w:sz w:val="22"/>
          <w:szCs w:val="22"/>
        </w:rPr>
      </w:pPr>
    </w:p>
  </w:endnote>
  <w:endnote w:id="71">
    <w:p w14:paraId="1478B94A" w14:textId="1ED4498B" w:rsidR="00FC046A" w:rsidRDefault="00FC046A">
      <w:pPr>
        <w:pStyle w:val="EndnoteText"/>
        <w:rPr>
          <w:rFonts w:ascii="Times New Roman" w:hAnsi="Times New Roman" w:cs="Times New Roman"/>
          <w:sz w:val="22"/>
          <w:szCs w:val="22"/>
        </w:rPr>
      </w:pPr>
      <w:r w:rsidRPr="00E60FA5">
        <w:rPr>
          <w:rStyle w:val="EndnoteReference"/>
          <w:rFonts w:ascii="Times New Roman" w:hAnsi="Times New Roman" w:cs="Times New Roman"/>
          <w:sz w:val="22"/>
          <w:szCs w:val="22"/>
        </w:rPr>
        <w:endnoteRef/>
      </w:r>
      <w:r w:rsidRPr="00E60FA5">
        <w:rPr>
          <w:rFonts w:ascii="Times New Roman" w:hAnsi="Times New Roman" w:cs="Times New Roman"/>
          <w:sz w:val="22"/>
          <w:szCs w:val="22"/>
        </w:rPr>
        <w:t xml:space="preserve"> See testimony of Lance McNeel, </w:t>
      </w:r>
      <w:r>
        <w:rPr>
          <w:rFonts w:ascii="Times New Roman" w:hAnsi="Times New Roman" w:cs="Times New Roman"/>
          <w:sz w:val="22"/>
          <w:szCs w:val="22"/>
        </w:rPr>
        <w:t>Tr.</w:t>
      </w:r>
      <w:r w:rsidRPr="00E60FA5">
        <w:rPr>
          <w:rFonts w:ascii="Times New Roman" w:hAnsi="Times New Roman" w:cs="Times New Roman"/>
          <w:sz w:val="22"/>
          <w:szCs w:val="22"/>
        </w:rPr>
        <w:t xml:space="preserve"> at 323-361</w:t>
      </w:r>
      <w:r>
        <w:rPr>
          <w:rFonts w:ascii="Times New Roman" w:hAnsi="Times New Roman" w:cs="Times New Roman"/>
          <w:sz w:val="22"/>
          <w:szCs w:val="22"/>
        </w:rPr>
        <w:t>.</w:t>
      </w:r>
    </w:p>
    <w:p w14:paraId="7669031A" w14:textId="77777777" w:rsidR="00FC046A" w:rsidRPr="00E60FA5" w:rsidRDefault="00FC046A">
      <w:pPr>
        <w:pStyle w:val="EndnoteText"/>
        <w:rPr>
          <w:rFonts w:ascii="Times New Roman" w:hAnsi="Times New Roman" w:cs="Times New Roman"/>
          <w:sz w:val="22"/>
          <w:szCs w:val="22"/>
        </w:rPr>
      </w:pPr>
    </w:p>
  </w:endnote>
  <w:endnote w:id="72">
    <w:p w14:paraId="224D4506" w14:textId="48993636" w:rsidR="00FC046A" w:rsidRPr="00AE2011" w:rsidRDefault="00FC046A" w:rsidP="00F33A65">
      <w:pPr>
        <w:pStyle w:val="EndnoteText"/>
        <w:rPr>
          <w:rFonts w:ascii="Times New Roman" w:hAnsi="Times New Roman" w:cs="Times New Roman"/>
          <w:sz w:val="22"/>
          <w:szCs w:val="22"/>
        </w:rPr>
      </w:pPr>
      <w:r w:rsidRPr="00AE2011">
        <w:rPr>
          <w:rStyle w:val="EndnoteReference"/>
          <w:rFonts w:ascii="Times New Roman" w:hAnsi="Times New Roman" w:cs="Times New Roman"/>
          <w:sz w:val="22"/>
          <w:szCs w:val="22"/>
        </w:rPr>
        <w:endnoteRef/>
      </w:r>
      <w:r w:rsidRPr="00AE2011">
        <w:rPr>
          <w:rFonts w:ascii="Times New Roman" w:hAnsi="Times New Roman" w:cs="Times New Roman"/>
          <w:sz w:val="22"/>
          <w:szCs w:val="22"/>
        </w:rPr>
        <w:t xml:space="preserve"> </w:t>
      </w:r>
      <w:r>
        <w:rPr>
          <w:rFonts w:ascii="Times New Roman" w:hAnsi="Times New Roman" w:cs="Times New Roman"/>
          <w:sz w:val="22"/>
          <w:szCs w:val="22"/>
        </w:rPr>
        <w:t>See Opinion at 14, where the Court states as follows: “</w:t>
      </w:r>
      <w:r w:rsidRPr="00F33A65">
        <w:rPr>
          <w:rFonts w:ascii="Times New Roman" w:hAnsi="Times New Roman" w:cs="Times New Roman"/>
          <w:sz w:val="22"/>
          <w:szCs w:val="22"/>
        </w:rPr>
        <w:t>According to the evidence, all participants in the quota share arrangement</w:t>
      </w:r>
      <w:r>
        <w:rPr>
          <w:rFonts w:ascii="Times New Roman" w:hAnsi="Times New Roman" w:cs="Times New Roman"/>
          <w:sz w:val="22"/>
          <w:szCs w:val="22"/>
        </w:rPr>
        <w:t xml:space="preserve"> </w:t>
      </w:r>
      <w:r w:rsidRPr="00F33A65">
        <w:rPr>
          <w:rFonts w:ascii="Times New Roman" w:hAnsi="Times New Roman" w:cs="Times New Roman"/>
          <w:sz w:val="22"/>
          <w:szCs w:val="22"/>
        </w:rPr>
        <w:t>agreed to direct their affiliated insureds to pay the same percentage of</w:t>
      </w:r>
      <w:r>
        <w:rPr>
          <w:rFonts w:ascii="Times New Roman" w:hAnsi="Times New Roman" w:cs="Times New Roman"/>
          <w:sz w:val="22"/>
          <w:szCs w:val="22"/>
        </w:rPr>
        <w:t xml:space="preserve"> </w:t>
      </w:r>
      <w:r w:rsidRPr="00F33A65">
        <w:rPr>
          <w:rFonts w:ascii="Times New Roman" w:hAnsi="Times New Roman" w:cs="Times New Roman"/>
          <w:sz w:val="22"/>
          <w:szCs w:val="22"/>
        </w:rPr>
        <w:t>direct</w:t>
      </w:r>
      <w:r>
        <w:rPr>
          <w:rFonts w:ascii="Times New Roman" w:hAnsi="Times New Roman" w:cs="Times New Roman"/>
          <w:sz w:val="22"/>
          <w:szCs w:val="22"/>
        </w:rPr>
        <w:t xml:space="preserve"> </w:t>
      </w:r>
      <w:r w:rsidRPr="00F33A65">
        <w:rPr>
          <w:rFonts w:ascii="Times New Roman" w:hAnsi="Times New Roman" w:cs="Times New Roman"/>
          <w:sz w:val="22"/>
          <w:szCs w:val="22"/>
        </w:rPr>
        <w:t xml:space="preserve">written premiums to PoolRe. As in </w:t>
      </w:r>
      <w:r w:rsidRPr="005E0427">
        <w:rPr>
          <w:rFonts w:ascii="Times New Roman" w:hAnsi="Times New Roman" w:cs="Times New Roman"/>
          <w:i/>
          <w:sz w:val="22"/>
          <w:szCs w:val="22"/>
        </w:rPr>
        <w:t>Avrahami v. Commissioner</w:t>
      </w:r>
      <w:r w:rsidRPr="00F33A65">
        <w:rPr>
          <w:rFonts w:ascii="Times New Roman" w:hAnsi="Times New Roman" w:cs="Times New Roman"/>
          <w:sz w:val="22"/>
          <w:szCs w:val="22"/>
        </w:rPr>
        <w:t>, 149 T.C. at_</w:t>
      </w:r>
      <w:r>
        <w:rPr>
          <w:rFonts w:ascii="Times New Roman" w:hAnsi="Times New Roman" w:cs="Times New Roman"/>
          <w:sz w:val="22"/>
          <w:szCs w:val="22"/>
        </w:rPr>
        <w:t xml:space="preserve"> </w:t>
      </w:r>
      <w:r w:rsidRPr="00F33A65">
        <w:rPr>
          <w:rFonts w:ascii="Times New Roman" w:hAnsi="Times New Roman" w:cs="Times New Roman"/>
          <w:sz w:val="22"/>
          <w:szCs w:val="22"/>
        </w:rPr>
        <w:t>(slip op. at 69), we are concerned with a one-size-fits-all rate for all the</w:t>
      </w:r>
      <w:r>
        <w:rPr>
          <w:rFonts w:ascii="Times New Roman" w:hAnsi="Times New Roman" w:cs="Times New Roman"/>
          <w:sz w:val="22"/>
          <w:szCs w:val="22"/>
        </w:rPr>
        <w:t xml:space="preserve"> </w:t>
      </w:r>
      <w:r w:rsidRPr="00F33A65">
        <w:rPr>
          <w:rFonts w:ascii="Times New Roman" w:hAnsi="Times New Roman" w:cs="Times New Roman"/>
          <w:sz w:val="22"/>
          <w:szCs w:val="22"/>
        </w:rPr>
        <w:t>participants in the quota share arrangement.</w:t>
      </w:r>
      <w:r>
        <w:rPr>
          <w:rFonts w:ascii="Times New Roman" w:hAnsi="Times New Roman" w:cs="Times New Roman"/>
          <w:sz w:val="22"/>
          <w:szCs w:val="22"/>
        </w:rPr>
        <w:t>”</w:t>
      </w:r>
    </w:p>
    <w:p w14:paraId="256C0E99" w14:textId="77777777" w:rsidR="00FC046A" w:rsidRPr="00AE2011" w:rsidRDefault="00FC046A">
      <w:pPr>
        <w:pStyle w:val="EndnoteText"/>
        <w:rPr>
          <w:rFonts w:ascii="Times New Roman" w:hAnsi="Times New Roman" w:cs="Times New Roman"/>
          <w:sz w:val="22"/>
          <w:szCs w:val="22"/>
        </w:rPr>
      </w:pPr>
    </w:p>
  </w:endnote>
  <w:endnote w:id="73">
    <w:p w14:paraId="35A8F7A1" w14:textId="2D25AF6F" w:rsidR="00FC046A" w:rsidRDefault="00FC046A">
      <w:pPr>
        <w:pStyle w:val="EndnoteText"/>
        <w:rPr>
          <w:rFonts w:ascii="Times New Roman" w:hAnsi="Times New Roman" w:cs="Times New Roman"/>
          <w:sz w:val="22"/>
          <w:szCs w:val="22"/>
        </w:rPr>
      </w:pPr>
      <w:r w:rsidRPr="00AA3158">
        <w:rPr>
          <w:rStyle w:val="EndnoteReference"/>
          <w:rFonts w:ascii="Times New Roman" w:hAnsi="Times New Roman" w:cs="Times New Roman"/>
          <w:sz w:val="22"/>
          <w:szCs w:val="22"/>
        </w:rPr>
        <w:endnoteRef/>
      </w:r>
      <w:r w:rsidRPr="00AA3158">
        <w:rPr>
          <w:rFonts w:ascii="Times New Roman" w:hAnsi="Times New Roman" w:cs="Times New Roman"/>
          <w:sz w:val="22"/>
          <w:szCs w:val="22"/>
        </w:rPr>
        <w:t xml:space="preserve"> The Court</w:t>
      </w:r>
      <w:r>
        <w:rPr>
          <w:rFonts w:ascii="Times New Roman" w:hAnsi="Times New Roman" w:cs="Times New Roman"/>
          <w:sz w:val="22"/>
          <w:szCs w:val="22"/>
        </w:rPr>
        <w:t xml:space="preserve"> misquotes </w:t>
      </w:r>
      <w:r w:rsidRPr="00AA3158">
        <w:rPr>
          <w:rFonts w:ascii="Times New Roman" w:hAnsi="Times New Roman" w:cs="Times New Roman"/>
          <w:sz w:val="22"/>
          <w:szCs w:val="22"/>
        </w:rPr>
        <w:t xml:space="preserve">this </w:t>
      </w:r>
      <w:r>
        <w:rPr>
          <w:rFonts w:ascii="Times New Roman" w:hAnsi="Times New Roman" w:cs="Times New Roman"/>
          <w:sz w:val="22"/>
          <w:szCs w:val="22"/>
        </w:rPr>
        <w:t xml:space="preserve">policy’s </w:t>
      </w:r>
      <w:r w:rsidRPr="00AA3158">
        <w:rPr>
          <w:rFonts w:ascii="Times New Roman" w:hAnsi="Times New Roman" w:cs="Times New Roman"/>
          <w:sz w:val="22"/>
          <w:szCs w:val="22"/>
        </w:rPr>
        <w:t>language at 14</w:t>
      </w:r>
      <w:r>
        <w:rPr>
          <w:rFonts w:ascii="Times New Roman" w:hAnsi="Times New Roman" w:cs="Times New Roman"/>
          <w:sz w:val="22"/>
          <w:szCs w:val="22"/>
        </w:rPr>
        <w:t>, omitting the subsequent key paragraph of the policy</w:t>
      </w:r>
      <w:r w:rsidRPr="00AA3158">
        <w:rPr>
          <w:rFonts w:ascii="Times New Roman" w:hAnsi="Times New Roman" w:cs="Times New Roman"/>
          <w:sz w:val="22"/>
          <w:szCs w:val="22"/>
        </w:rPr>
        <w:t>.</w:t>
      </w:r>
      <w:r>
        <w:rPr>
          <w:rFonts w:ascii="Times New Roman" w:hAnsi="Times New Roman" w:cs="Times New Roman"/>
          <w:sz w:val="22"/>
          <w:szCs w:val="22"/>
        </w:rPr>
        <w:t xml:space="preserve">  </w:t>
      </w:r>
      <w:r w:rsidRPr="00BD10A2">
        <w:rPr>
          <w:rFonts w:ascii="Times New Roman" w:hAnsi="Times New Roman" w:cs="Times New Roman"/>
          <w:sz w:val="22"/>
          <w:szCs w:val="22"/>
        </w:rPr>
        <w:t xml:space="preserve">See, for example, Exhibit 75-J (Excess Directors &amp; Officers Liability Insurance Policy), </w:t>
      </w:r>
      <w:r>
        <w:rPr>
          <w:rFonts w:ascii="Times New Roman" w:hAnsi="Times New Roman" w:cs="Times New Roman"/>
          <w:sz w:val="22"/>
          <w:szCs w:val="22"/>
        </w:rPr>
        <w:t xml:space="preserve">at </w:t>
      </w:r>
      <w:r w:rsidRPr="00BD10A2">
        <w:rPr>
          <w:rFonts w:ascii="Times New Roman" w:hAnsi="Times New Roman" w:cs="Times New Roman"/>
          <w:sz w:val="22"/>
          <w:szCs w:val="22"/>
        </w:rPr>
        <w:t>2.</w:t>
      </w:r>
    </w:p>
    <w:p w14:paraId="2E30A6A5" w14:textId="77777777" w:rsidR="00FC046A" w:rsidRPr="00AA3158" w:rsidRDefault="00FC046A">
      <w:pPr>
        <w:pStyle w:val="EndnoteText"/>
        <w:rPr>
          <w:rFonts w:ascii="Times New Roman" w:hAnsi="Times New Roman" w:cs="Times New Roman"/>
          <w:sz w:val="22"/>
          <w:szCs w:val="22"/>
        </w:rPr>
      </w:pPr>
    </w:p>
  </w:endnote>
  <w:endnote w:id="74">
    <w:p w14:paraId="1B75C28A" w14:textId="34ECCAB2" w:rsidR="00FC046A" w:rsidRDefault="00FC046A">
      <w:pPr>
        <w:pStyle w:val="EndnoteText"/>
        <w:rPr>
          <w:rFonts w:ascii="Times New Roman" w:hAnsi="Times New Roman" w:cs="Times New Roman"/>
          <w:sz w:val="22"/>
          <w:szCs w:val="22"/>
        </w:rPr>
      </w:pPr>
      <w:r w:rsidRPr="00AA3158">
        <w:rPr>
          <w:rStyle w:val="EndnoteReference"/>
          <w:rFonts w:ascii="Times New Roman" w:hAnsi="Times New Roman" w:cs="Times New Roman"/>
          <w:sz w:val="22"/>
          <w:szCs w:val="22"/>
        </w:rPr>
        <w:endnoteRef/>
      </w:r>
      <w:r w:rsidRPr="00AA3158">
        <w:rPr>
          <w:rFonts w:ascii="Times New Roman" w:hAnsi="Times New Roman" w:cs="Times New Roman"/>
          <w:sz w:val="22"/>
          <w:szCs w:val="22"/>
        </w:rPr>
        <w:t xml:space="preserve"> </w:t>
      </w:r>
      <w:r>
        <w:rPr>
          <w:rFonts w:ascii="Times New Roman" w:hAnsi="Times New Roman" w:cs="Times New Roman"/>
          <w:sz w:val="22"/>
          <w:szCs w:val="22"/>
        </w:rPr>
        <w:t>See, e.g., Exhibit 75-J (Excess Directors &amp; Officers Liability Insurance Policy), at 2.  The Court omitted this portion of the policy in its discussion</w:t>
      </w:r>
      <w:bookmarkStart w:id="6" w:name="_Hlk524093932"/>
      <w:r>
        <w:rPr>
          <w:rFonts w:ascii="Times New Roman" w:hAnsi="Times New Roman" w:cs="Times New Roman"/>
          <w:sz w:val="22"/>
          <w:szCs w:val="22"/>
        </w:rPr>
        <w:t xml:space="preserve"> at 14 of the Opinion.</w:t>
      </w:r>
      <w:bookmarkEnd w:id="6"/>
    </w:p>
    <w:p w14:paraId="0FB4DD43" w14:textId="77777777" w:rsidR="00FC046A" w:rsidRPr="00AA3158" w:rsidRDefault="00FC046A">
      <w:pPr>
        <w:pStyle w:val="EndnoteText"/>
        <w:rPr>
          <w:rFonts w:ascii="Times New Roman" w:hAnsi="Times New Roman" w:cs="Times New Roman"/>
          <w:sz w:val="22"/>
          <w:szCs w:val="22"/>
        </w:rPr>
      </w:pPr>
    </w:p>
  </w:endnote>
  <w:endnote w:id="75">
    <w:p w14:paraId="2898FE80" w14:textId="7ED8CBAE" w:rsidR="00FC046A" w:rsidRDefault="00FC046A">
      <w:pPr>
        <w:pStyle w:val="EndnoteText"/>
        <w:rPr>
          <w:rFonts w:ascii="Times New Roman" w:hAnsi="Times New Roman" w:cs="Times New Roman"/>
          <w:sz w:val="22"/>
          <w:szCs w:val="22"/>
        </w:rPr>
      </w:pPr>
      <w:r w:rsidRPr="006A4CE5">
        <w:rPr>
          <w:rStyle w:val="EndnoteReference"/>
          <w:rFonts w:ascii="Times New Roman" w:hAnsi="Times New Roman" w:cs="Times New Roman"/>
          <w:sz w:val="22"/>
          <w:szCs w:val="22"/>
        </w:rPr>
        <w:endnoteRef/>
      </w:r>
      <w:r w:rsidRPr="006A4CE5">
        <w:rPr>
          <w:rFonts w:ascii="Times New Roman" w:hAnsi="Times New Roman" w:cs="Times New Roman"/>
          <w:sz w:val="22"/>
          <w:szCs w:val="22"/>
        </w:rPr>
        <w:t xml:space="preserve"> </w:t>
      </w:r>
      <w:r>
        <w:rPr>
          <w:rFonts w:ascii="Times New Roman" w:hAnsi="Times New Roman" w:cs="Times New Roman"/>
          <w:sz w:val="22"/>
          <w:szCs w:val="22"/>
        </w:rPr>
        <w:t xml:space="preserve">See Opinion at 14.    </w:t>
      </w:r>
    </w:p>
    <w:p w14:paraId="10683FF5" w14:textId="77777777" w:rsidR="00FC046A" w:rsidRPr="006A4CE5" w:rsidRDefault="00FC046A">
      <w:pPr>
        <w:pStyle w:val="EndnoteText"/>
        <w:rPr>
          <w:rFonts w:ascii="Times New Roman" w:hAnsi="Times New Roman" w:cs="Times New Roman"/>
          <w:sz w:val="22"/>
          <w:szCs w:val="22"/>
        </w:rPr>
      </w:pPr>
    </w:p>
  </w:endnote>
  <w:endnote w:id="76">
    <w:p w14:paraId="0A6A4A1D" w14:textId="5E5413FB" w:rsidR="00FC046A" w:rsidRPr="0066094A" w:rsidRDefault="00FC046A">
      <w:pPr>
        <w:pStyle w:val="EndnoteText"/>
        <w:rPr>
          <w:rFonts w:ascii="Times New Roman" w:hAnsi="Times New Roman" w:cs="Times New Roman"/>
          <w:sz w:val="22"/>
          <w:szCs w:val="22"/>
        </w:rPr>
      </w:pPr>
      <w:r w:rsidRPr="0066094A">
        <w:rPr>
          <w:rStyle w:val="EndnoteReference"/>
          <w:rFonts w:ascii="Times New Roman" w:hAnsi="Times New Roman" w:cs="Times New Roman"/>
          <w:sz w:val="22"/>
          <w:szCs w:val="22"/>
        </w:rPr>
        <w:endnoteRef/>
      </w:r>
      <w:r w:rsidRPr="0066094A">
        <w:rPr>
          <w:rFonts w:ascii="Times New Roman" w:hAnsi="Times New Roman" w:cs="Times New Roman"/>
          <w:sz w:val="22"/>
          <w:szCs w:val="22"/>
        </w:rPr>
        <w:t xml:space="preserve"> See </w:t>
      </w:r>
      <w:r>
        <w:rPr>
          <w:rFonts w:ascii="Times New Roman" w:hAnsi="Times New Roman" w:cs="Times New Roman"/>
          <w:sz w:val="22"/>
          <w:szCs w:val="22"/>
        </w:rPr>
        <w:t xml:space="preserve">Opinion at </w:t>
      </w:r>
      <w:r w:rsidRPr="0066094A">
        <w:rPr>
          <w:rFonts w:ascii="Times New Roman" w:hAnsi="Times New Roman" w:cs="Times New Roman"/>
          <w:sz w:val="22"/>
          <w:szCs w:val="22"/>
        </w:rPr>
        <w:t>61</w:t>
      </w:r>
      <w:r>
        <w:rPr>
          <w:rFonts w:ascii="Times New Roman" w:hAnsi="Times New Roman" w:cs="Times New Roman"/>
          <w:sz w:val="22"/>
          <w:szCs w:val="22"/>
        </w:rPr>
        <w:t xml:space="preserve">. </w:t>
      </w:r>
    </w:p>
    <w:p w14:paraId="2AA9DF2D" w14:textId="77777777" w:rsidR="00FC046A" w:rsidRPr="00CC5D01" w:rsidRDefault="00FC046A">
      <w:pPr>
        <w:pStyle w:val="EndnoteText"/>
        <w:rPr>
          <w:rFonts w:ascii="Times New Roman" w:hAnsi="Times New Roman" w:cs="Times New Roman"/>
          <w:sz w:val="22"/>
          <w:szCs w:val="22"/>
        </w:rPr>
      </w:pPr>
    </w:p>
  </w:endnote>
  <w:endnote w:id="77">
    <w:p w14:paraId="08AFFCB3" w14:textId="6377F57A" w:rsidR="00FC046A" w:rsidRDefault="00FC046A" w:rsidP="00CC5D01">
      <w:pPr>
        <w:pStyle w:val="EndnoteText"/>
        <w:rPr>
          <w:rFonts w:ascii="Times New Roman" w:hAnsi="Times New Roman" w:cs="Times New Roman"/>
          <w:sz w:val="22"/>
          <w:szCs w:val="22"/>
        </w:rPr>
      </w:pPr>
      <w:r w:rsidRPr="00CC5D01">
        <w:rPr>
          <w:rStyle w:val="EndnoteReference"/>
          <w:rFonts w:ascii="Times New Roman" w:hAnsi="Times New Roman" w:cs="Times New Roman"/>
          <w:sz w:val="22"/>
          <w:szCs w:val="22"/>
        </w:rPr>
        <w:endnoteRef/>
      </w:r>
      <w:r w:rsidRPr="00CC5D01">
        <w:rPr>
          <w:rFonts w:ascii="Times New Roman" w:hAnsi="Times New Roman" w:cs="Times New Roman"/>
          <w:sz w:val="22"/>
          <w:szCs w:val="22"/>
        </w:rPr>
        <w:t xml:space="preserve"> </w:t>
      </w:r>
      <w:r w:rsidRPr="00AE1B20">
        <w:rPr>
          <w:rFonts w:ascii="Times New Roman" w:hAnsi="Times New Roman" w:cs="Times New Roman"/>
          <w:sz w:val="22"/>
          <w:szCs w:val="22"/>
        </w:rPr>
        <w:t>See testimony of Donald J. Riggin</w:t>
      </w:r>
      <w:r>
        <w:rPr>
          <w:rFonts w:ascii="Times New Roman" w:hAnsi="Times New Roman" w:cs="Times New Roman"/>
          <w:sz w:val="22"/>
          <w:szCs w:val="22"/>
        </w:rPr>
        <w:t>, Tr.</w:t>
      </w:r>
      <w:r w:rsidRPr="00AE1B20">
        <w:rPr>
          <w:rFonts w:ascii="Times New Roman" w:hAnsi="Times New Roman" w:cs="Times New Roman"/>
          <w:sz w:val="22"/>
          <w:szCs w:val="22"/>
        </w:rPr>
        <w:t xml:space="preserve"> at 925 and Exhibit 136-R (Opening Expert Report of Donald J. Riggin, dated March 27, 2017).</w:t>
      </w:r>
      <w:r>
        <w:rPr>
          <w:rFonts w:ascii="Times New Roman" w:hAnsi="Times New Roman" w:cs="Times New Roman"/>
          <w:sz w:val="22"/>
          <w:szCs w:val="22"/>
        </w:rPr>
        <w:t xml:space="preserve">  Mr. Riggin, as the government’s sole expert witness,</w:t>
      </w:r>
      <w:r w:rsidRPr="00A73F91">
        <w:rPr>
          <w:rFonts w:ascii="Times New Roman" w:hAnsi="Times New Roman" w:cs="Times New Roman"/>
          <w:sz w:val="22"/>
          <w:szCs w:val="22"/>
        </w:rPr>
        <w:t xml:space="preserve"> had no opinion regarding the pricing of even a single policy and did not make any determination in his expert report that the premiums charged by Reserve </w:t>
      </w:r>
      <w:r>
        <w:rPr>
          <w:rFonts w:ascii="Times New Roman" w:hAnsi="Times New Roman" w:cs="Times New Roman"/>
          <w:sz w:val="22"/>
          <w:szCs w:val="22"/>
        </w:rPr>
        <w:t xml:space="preserve">or PoolRe </w:t>
      </w:r>
      <w:r w:rsidRPr="00A73F91">
        <w:rPr>
          <w:rFonts w:ascii="Times New Roman" w:hAnsi="Times New Roman" w:cs="Times New Roman"/>
          <w:sz w:val="22"/>
          <w:szCs w:val="22"/>
        </w:rPr>
        <w:t>were either overstated or</w:t>
      </w:r>
      <w:r>
        <w:rPr>
          <w:rFonts w:ascii="Times New Roman" w:hAnsi="Times New Roman" w:cs="Times New Roman"/>
          <w:sz w:val="22"/>
          <w:szCs w:val="22"/>
        </w:rPr>
        <w:t xml:space="preserve"> </w:t>
      </w:r>
      <w:r w:rsidRPr="00A73F91">
        <w:rPr>
          <w:rFonts w:ascii="Times New Roman" w:hAnsi="Times New Roman" w:cs="Times New Roman"/>
          <w:sz w:val="22"/>
          <w:szCs w:val="22"/>
        </w:rPr>
        <w:t>understated</w:t>
      </w:r>
      <w:r>
        <w:rPr>
          <w:rFonts w:ascii="Times New Roman" w:hAnsi="Times New Roman" w:cs="Times New Roman"/>
          <w:sz w:val="22"/>
          <w:szCs w:val="22"/>
        </w:rPr>
        <w:t>.</w:t>
      </w:r>
    </w:p>
    <w:p w14:paraId="3EAE0714" w14:textId="77777777" w:rsidR="00FC046A" w:rsidRPr="00CC5D01" w:rsidRDefault="00FC046A">
      <w:pPr>
        <w:pStyle w:val="EndnoteText"/>
        <w:rPr>
          <w:rFonts w:ascii="Times New Roman" w:hAnsi="Times New Roman" w:cs="Times New Roman"/>
          <w:sz w:val="22"/>
          <w:szCs w:val="22"/>
        </w:rPr>
      </w:pPr>
    </w:p>
  </w:endnote>
  <w:endnote w:id="78">
    <w:p w14:paraId="51E3945E" w14:textId="6499C48E" w:rsidR="00FC046A" w:rsidRDefault="00FC046A">
      <w:pPr>
        <w:pStyle w:val="EndnoteText"/>
        <w:rPr>
          <w:rFonts w:ascii="Times New Roman" w:hAnsi="Times New Roman" w:cs="Times New Roman"/>
          <w:sz w:val="22"/>
          <w:szCs w:val="22"/>
        </w:rPr>
      </w:pPr>
      <w:r w:rsidRPr="009F31BD">
        <w:rPr>
          <w:rStyle w:val="EndnoteReference"/>
          <w:rFonts w:ascii="Times New Roman" w:hAnsi="Times New Roman" w:cs="Times New Roman"/>
          <w:sz w:val="22"/>
          <w:szCs w:val="22"/>
        </w:rPr>
        <w:endnoteRef/>
      </w:r>
      <w:r w:rsidRPr="009F31BD">
        <w:rPr>
          <w:rFonts w:ascii="Times New Roman" w:hAnsi="Times New Roman" w:cs="Times New Roman"/>
          <w:sz w:val="22"/>
          <w:szCs w:val="22"/>
        </w:rPr>
        <w:t xml:space="preserve"> </w:t>
      </w:r>
      <w:r w:rsidRPr="00347F74">
        <w:rPr>
          <w:rFonts w:ascii="Times New Roman" w:hAnsi="Times New Roman" w:cs="Times New Roman"/>
          <w:sz w:val="22"/>
          <w:szCs w:val="22"/>
        </w:rPr>
        <w:t xml:space="preserve">See </w:t>
      </w:r>
      <w:r w:rsidRPr="00B038BE">
        <w:rPr>
          <w:rFonts w:ascii="Times New Roman" w:hAnsi="Times New Roman" w:cs="Times New Roman"/>
          <w:sz w:val="22"/>
          <w:szCs w:val="22"/>
        </w:rPr>
        <w:t>note 15, supra.</w:t>
      </w:r>
    </w:p>
    <w:p w14:paraId="4EC7D7E6" w14:textId="77777777" w:rsidR="00FC046A" w:rsidRPr="0094414E" w:rsidRDefault="00FC046A">
      <w:pPr>
        <w:pStyle w:val="EndnoteText"/>
        <w:rPr>
          <w:rFonts w:ascii="Times New Roman" w:hAnsi="Times New Roman" w:cs="Times New Roman"/>
          <w:sz w:val="22"/>
          <w:szCs w:val="22"/>
        </w:rPr>
      </w:pPr>
    </w:p>
  </w:endnote>
  <w:endnote w:id="79">
    <w:p w14:paraId="07BC78E8" w14:textId="09D79E0D" w:rsidR="00FC046A" w:rsidRPr="0094414E" w:rsidRDefault="00FC046A">
      <w:pPr>
        <w:pStyle w:val="EndnoteText"/>
        <w:rPr>
          <w:rFonts w:ascii="Times New Roman" w:hAnsi="Times New Roman" w:cs="Times New Roman"/>
          <w:sz w:val="22"/>
          <w:szCs w:val="22"/>
        </w:rPr>
      </w:pPr>
      <w:r w:rsidRPr="0094414E">
        <w:rPr>
          <w:rStyle w:val="EndnoteReference"/>
          <w:rFonts w:ascii="Times New Roman" w:hAnsi="Times New Roman" w:cs="Times New Roman"/>
          <w:sz w:val="22"/>
          <w:szCs w:val="22"/>
        </w:rPr>
        <w:endnoteRef/>
      </w:r>
      <w:r w:rsidRPr="0094414E">
        <w:rPr>
          <w:rFonts w:ascii="Times New Roman" w:hAnsi="Times New Roman" w:cs="Times New Roman"/>
          <w:sz w:val="22"/>
          <w:szCs w:val="22"/>
        </w:rPr>
        <w:t xml:space="preserve"> </w:t>
      </w:r>
      <w:r>
        <w:rPr>
          <w:rFonts w:ascii="Times New Roman" w:hAnsi="Times New Roman" w:cs="Times New Roman"/>
          <w:sz w:val="22"/>
          <w:szCs w:val="22"/>
        </w:rPr>
        <w:t>See testimony of Lance McNeel, CPCU</w:t>
      </w:r>
      <w:r w:rsidRPr="000E3A20">
        <w:rPr>
          <w:rFonts w:ascii="Times New Roman" w:hAnsi="Times New Roman" w:cs="Times New Roman"/>
          <w:sz w:val="22"/>
          <w:szCs w:val="22"/>
        </w:rPr>
        <w:t xml:space="preserve">, </w:t>
      </w:r>
      <w:r>
        <w:rPr>
          <w:rFonts w:ascii="Times New Roman" w:hAnsi="Times New Roman" w:cs="Times New Roman"/>
          <w:sz w:val="22"/>
          <w:szCs w:val="22"/>
        </w:rPr>
        <w:t>Tr.</w:t>
      </w:r>
      <w:r w:rsidRPr="000E3A20">
        <w:rPr>
          <w:rFonts w:ascii="Times New Roman" w:hAnsi="Times New Roman" w:cs="Times New Roman"/>
          <w:sz w:val="22"/>
          <w:szCs w:val="22"/>
        </w:rPr>
        <w:t xml:space="preserve"> at 3</w:t>
      </w:r>
      <w:r>
        <w:rPr>
          <w:rFonts w:ascii="Times New Roman" w:hAnsi="Times New Roman" w:cs="Times New Roman"/>
          <w:sz w:val="22"/>
          <w:szCs w:val="22"/>
        </w:rPr>
        <w:t>96</w:t>
      </w:r>
      <w:r w:rsidRPr="000E3A20">
        <w:rPr>
          <w:rFonts w:ascii="Times New Roman" w:hAnsi="Times New Roman" w:cs="Times New Roman"/>
          <w:sz w:val="22"/>
          <w:szCs w:val="22"/>
        </w:rPr>
        <w:t>-366</w:t>
      </w:r>
      <w:r>
        <w:rPr>
          <w:rFonts w:ascii="Times New Roman" w:hAnsi="Times New Roman" w:cs="Times New Roman"/>
          <w:sz w:val="22"/>
          <w:szCs w:val="22"/>
        </w:rPr>
        <w:t>, testifying</w:t>
      </w:r>
      <w:r w:rsidRPr="000E3A20">
        <w:rPr>
          <w:rFonts w:ascii="Times New Roman" w:hAnsi="Times New Roman" w:cs="Times New Roman"/>
          <w:sz w:val="22"/>
          <w:szCs w:val="22"/>
        </w:rPr>
        <w:t xml:space="preserve"> on the </w:t>
      </w:r>
      <w:r>
        <w:rPr>
          <w:rFonts w:ascii="Times New Roman" w:hAnsi="Times New Roman" w:cs="Times New Roman"/>
          <w:sz w:val="22"/>
          <w:szCs w:val="22"/>
        </w:rPr>
        <w:t xml:space="preserve">underwriting and </w:t>
      </w:r>
      <w:r w:rsidRPr="000E3A20">
        <w:rPr>
          <w:rFonts w:ascii="Times New Roman" w:hAnsi="Times New Roman" w:cs="Times New Roman"/>
          <w:sz w:val="22"/>
          <w:szCs w:val="22"/>
        </w:rPr>
        <w:t>pricing procedures implemented for Reserve</w:t>
      </w:r>
      <w:r>
        <w:rPr>
          <w:rFonts w:ascii="Times New Roman" w:hAnsi="Times New Roman" w:cs="Times New Roman"/>
          <w:sz w:val="22"/>
          <w:szCs w:val="22"/>
        </w:rPr>
        <w:t>.  See also testimony of CPA David Liptz, Tr.</w:t>
      </w:r>
      <w:r w:rsidRPr="00CB5A8A">
        <w:rPr>
          <w:rFonts w:ascii="Times New Roman" w:hAnsi="Times New Roman" w:cs="Times New Roman"/>
          <w:sz w:val="22"/>
          <w:szCs w:val="22"/>
        </w:rPr>
        <w:t xml:space="preserve"> at </w:t>
      </w:r>
      <w:r>
        <w:rPr>
          <w:rFonts w:ascii="Times New Roman" w:hAnsi="Times New Roman" w:cs="Times New Roman"/>
          <w:sz w:val="22"/>
          <w:szCs w:val="22"/>
        </w:rPr>
        <w:t xml:space="preserve">521-609, testifying on the audit procedures employed by Liptz &amp; Associates with respect to the preparation of audited financial statements for Reserve.  See also </w:t>
      </w:r>
      <w:r w:rsidRPr="00E1288A">
        <w:rPr>
          <w:rFonts w:ascii="Times New Roman" w:hAnsi="Times New Roman" w:cs="Times New Roman"/>
          <w:sz w:val="22"/>
          <w:szCs w:val="22"/>
        </w:rPr>
        <w:t>Exhibit 109-P (Pricing Indications</w:t>
      </w:r>
      <w:r>
        <w:rPr>
          <w:rFonts w:ascii="Times New Roman" w:hAnsi="Times New Roman" w:cs="Times New Roman"/>
          <w:sz w:val="22"/>
          <w:szCs w:val="22"/>
        </w:rPr>
        <w:t xml:space="preserve">, </w:t>
      </w:r>
      <w:r w:rsidRPr="00E1288A">
        <w:rPr>
          <w:rFonts w:ascii="Times New Roman" w:hAnsi="Times New Roman" w:cs="Times New Roman"/>
          <w:sz w:val="22"/>
          <w:szCs w:val="22"/>
        </w:rPr>
        <w:t xml:space="preserve">for policy periods ending </w:t>
      </w:r>
      <w:r>
        <w:rPr>
          <w:rFonts w:ascii="Times New Roman" w:hAnsi="Times New Roman" w:cs="Times New Roman"/>
          <w:sz w:val="22"/>
          <w:szCs w:val="22"/>
        </w:rPr>
        <w:t xml:space="preserve">December 31, 2008-2010, </w:t>
      </w:r>
      <w:r w:rsidRPr="00E1288A">
        <w:rPr>
          <w:rFonts w:ascii="Times New Roman" w:hAnsi="Times New Roman" w:cs="Times New Roman"/>
          <w:sz w:val="22"/>
          <w:szCs w:val="22"/>
        </w:rPr>
        <w:t>prepared for Reserve by Mid-Continent General Agency, Inc., Underwriters at Lloyds of London).</w:t>
      </w:r>
    </w:p>
    <w:p w14:paraId="37B4F037" w14:textId="77777777" w:rsidR="00FC046A" w:rsidRPr="0094414E" w:rsidRDefault="00FC046A">
      <w:pPr>
        <w:pStyle w:val="EndnoteText"/>
        <w:rPr>
          <w:rFonts w:ascii="Times New Roman" w:hAnsi="Times New Roman" w:cs="Times New Roman"/>
          <w:sz w:val="22"/>
          <w:szCs w:val="22"/>
        </w:rPr>
      </w:pPr>
    </w:p>
  </w:endnote>
  <w:endnote w:id="80">
    <w:p w14:paraId="365CD384" w14:textId="4C7C7673" w:rsidR="00FC046A" w:rsidRPr="00335177" w:rsidRDefault="00FC046A">
      <w:pPr>
        <w:pStyle w:val="EndnoteText"/>
        <w:rPr>
          <w:rFonts w:ascii="Times New Roman" w:hAnsi="Times New Roman" w:cs="Times New Roman"/>
          <w:sz w:val="22"/>
          <w:szCs w:val="22"/>
        </w:rPr>
      </w:pPr>
      <w:r w:rsidRPr="00335177">
        <w:rPr>
          <w:rStyle w:val="EndnoteReference"/>
          <w:rFonts w:ascii="Times New Roman" w:hAnsi="Times New Roman" w:cs="Times New Roman"/>
          <w:sz w:val="22"/>
          <w:szCs w:val="22"/>
        </w:rPr>
        <w:endnoteRef/>
      </w:r>
      <w:r w:rsidRPr="00335177">
        <w:rPr>
          <w:rFonts w:ascii="Times New Roman" w:hAnsi="Times New Roman" w:cs="Times New Roman"/>
          <w:sz w:val="22"/>
          <w:szCs w:val="22"/>
        </w:rPr>
        <w:t xml:space="preserve"> </w:t>
      </w:r>
      <w:r w:rsidRPr="00974332">
        <w:rPr>
          <w:rFonts w:ascii="Times New Roman" w:hAnsi="Times New Roman" w:cs="Times New Roman"/>
          <w:sz w:val="22"/>
          <w:szCs w:val="22"/>
        </w:rPr>
        <w:t xml:space="preserve">See testimony of Norman Zumbaum, </w:t>
      </w:r>
      <w:r>
        <w:rPr>
          <w:rFonts w:ascii="Times New Roman" w:hAnsi="Times New Roman" w:cs="Times New Roman"/>
          <w:sz w:val="22"/>
          <w:szCs w:val="22"/>
        </w:rPr>
        <w:t>Tr.</w:t>
      </w:r>
      <w:r w:rsidRPr="00974332">
        <w:rPr>
          <w:rFonts w:ascii="Times New Roman" w:hAnsi="Times New Roman" w:cs="Times New Roman"/>
          <w:sz w:val="22"/>
          <w:szCs w:val="22"/>
        </w:rPr>
        <w:t xml:space="preserve"> at 135-138 and testimony of Norman Zumbaum on cross-examination at 165-167.  Mr. Zumbaum testified that the “folks from Capstone” were “our advisors” and that </w:t>
      </w:r>
      <w:r>
        <w:rPr>
          <w:rFonts w:ascii="Times New Roman" w:hAnsi="Times New Roman" w:cs="Times New Roman"/>
          <w:sz w:val="22"/>
          <w:szCs w:val="22"/>
        </w:rPr>
        <w:t xml:space="preserve">he relied upon </w:t>
      </w:r>
      <w:r w:rsidRPr="00974332">
        <w:rPr>
          <w:rFonts w:ascii="Times New Roman" w:hAnsi="Times New Roman" w:cs="Times New Roman"/>
          <w:sz w:val="22"/>
          <w:szCs w:val="22"/>
        </w:rPr>
        <w:t xml:space="preserve">what was communicated to him by </w:t>
      </w:r>
      <w:r>
        <w:rPr>
          <w:rFonts w:ascii="Times New Roman" w:hAnsi="Times New Roman" w:cs="Times New Roman"/>
          <w:sz w:val="22"/>
          <w:szCs w:val="22"/>
        </w:rPr>
        <w:t xml:space="preserve">them. </w:t>
      </w:r>
    </w:p>
    <w:p w14:paraId="4DDB7D09" w14:textId="77777777" w:rsidR="00FC046A" w:rsidRPr="00335177" w:rsidRDefault="00FC046A">
      <w:pPr>
        <w:pStyle w:val="EndnoteText"/>
        <w:rPr>
          <w:rFonts w:ascii="Times New Roman" w:hAnsi="Times New Roman" w:cs="Times New Roman"/>
          <w:sz w:val="22"/>
          <w:szCs w:val="22"/>
        </w:rPr>
      </w:pPr>
    </w:p>
  </w:endnote>
  <w:endnote w:id="81">
    <w:p w14:paraId="22BFBDE1" w14:textId="2C3DB976" w:rsidR="00FC046A" w:rsidRDefault="00FC046A" w:rsidP="00AD56BE">
      <w:pPr>
        <w:pStyle w:val="EndnoteText"/>
        <w:rPr>
          <w:rFonts w:ascii="Times New Roman" w:hAnsi="Times New Roman" w:cs="Times New Roman"/>
          <w:sz w:val="22"/>
          <w:szCs w:val="22"/>
        </w:rPr>
      </w:pPr>
      <w:r w:rsidRPr="00C133EE">
        <w:rPr>
          <w:rStyle w:val="EndnoteReference"/>
          <w:rFonts w:ascii="Times New Roman" w:hAnsi="Times New Roman" w:cs="Times New Roman"/>
          <w:sz w:val="22"/>
          <w:szCs w:val="22"/>
        </w:rPr>
        <w:endnoteRef/>
      </w:r>
      <w:r w:rsidRPr="00C133EE">
        <w:rPr>
          <w:rFonts w:ascii="Times New Roman" w:hAnsi="Times New Roman" w:cs="Times New Roman"/>
          <w:sz w:val="22"/>
          <w:szCs w:val="22"/>
        </w:rPr>
        <w:t xml:space="preserve"> </w:t>
      </w:r>
      <w:r>
        <w:rPr>
          <w:rFonts w:ascii="Times New Roman" w:hAnsi="Times New Roman" w:cs="Times New Roman"/>
          <w:sz w:val="22"/>
          <w:szCs w:val="22"/>
        </w:rPr>
        <w:t xml:space="preserve">In the </w:t>
      </w:r>
      <w:r w:rsidRPr="00C133EE">
        <w:rPr>
          <w:rFonts w:ascii="Times New Roman" w:hAnsi="Times New Roman" w:cs="Times New Roman"/>
          <w:sz w:val="22"/>
          <w:szCs w:val="22"/>
        </w:rPr>
        <w:t>Opinion</w:t>
      </w:r>
      <w:r>
        <w:rPr>
          <w:rFonts w:ascii="Times New Roman" w:hAnsi="Times New Roman" w:cs="Times New Roman"/>
          <w:sz w:val="22"/>
          <w:szCs w:val="22"/>
        </w:rPr>
        <w:t xml:space="preserve"> at 51</w:t>
      </w:r>
      <w:r w:rsidRPr="00C133EE">
        <w:rPr>
          <w:rFonts w:ascii="Times New Roman" w:hAnsi="Times New Roman" w:cs="Times New Roman"/>
          <w:sz w:val="22"/>
          <w:szCs w:val="22"/>
        </w:rPr>
        <w:t xml:space="preserve">, the </w:t>
      </w:r>
      <w:r>
        <w:rPr>
          <w:rFonts w:ascii="Times New Roman" w:hAnsi="Times New Roman" w:cs="Times New Roman"/>
          <w:sz w:val="22"/>
          <w:szCs w:val="22"/>
        </w:rPr>
        <w:t>C</w:t>
      </w:r>
      <w:r w:rsidRPr="00C133EE">
        <w:rPr>
          <w:rFonts w:ascii="Times New Roman" w:hAnsi="Times New Roman" w:cs="Times New Roman"/>
          <w:sz w:val="22"/>
          <w:szCs w:val="22"/>
        </w:rPr>
        <w:t xml:space="preserve">ourt </w:t>
      </w:r>
      <w:r>
        <w:rPr>
          <w:rFonts w:ascii="Times New Roman" w:hAnsi="Times New Roman" w:cs="Times New Roman"/>
          <w:sz w:val="22"/>
          <w:szCs w:val="22"/>
        </w:rPr>
        <w:t>stated as follows: “</w:t>
      </w:r>
      <w:r w:rsidRPr="000271DA">
        <w:rPr>
          <w:rFonts w:ascii="Times New Roman" w:hAnsi="Times New Roman" w:cs="Times New Roman"/>
          <w:sz w:val="22"/>
          <w:szCs w:val="22"/>
        </w:rPr>
        <w:t>There is no evidence that Reserve performed any due diligence with respect</w:t>
      </w:r>
      <w:r>
        <w:rPr>
          <w:rFonts w:ascii="Times New Roman" w:hAnsi="Times New Roman" w:cs="Times New Roman"/>
          <w:sz w:val="22"/>
          <w:szCs w:val="22"/>
        </w:rPr>
        <w:t xml:space="preserve"> </w:t>
      </w:r>
      <w:r w:rsidRPr="000271DA">
        <w:rPr>
          <w:rFonts w:ascii="Times New Roman" w:hAnsi="Times New Roman" w:cs="Times New Roman"/>
          <w:sz w:val="22"/>
          <w:szCs w:val="22"/>
        </w:rPr>
        <w:t>to the reinsurance agreements that it executed with PoolRe. With respect to the</w:t>
      </w:r>
      <w:r>
        <w:rPr>
          <w:rFonts w:ascii="Times New Roman" w:hAnsi="Times New Roman" w:cs="Times New Roman"/>
          <w:sz w:val="22"/>
          <w:szCs w:val="22"/>
        </w:rPr>
        <w:t xml:space="preserve"> </w:t>
      </w:r>
      <w:r w:rsidRPr="000271DA">
        <w:rPr>
          <w:rFonts w:ascii="Times New Roman" w:hAnsi="Times New Roman" w:cs="Times New Roman"/>
          <w:sz w:val="22"/>
          <w:szCs w:val="22"/>
        </w:rPr>
        <w:t>quota share arrangement it agreed to assume risks relating to a number of different</w:t>
      </w:r>
      <w:r>
        <w:rPr>
          <w:rFonts w:ascii="Times New Roman" w:hAnsi="Times New Roman" w:cs="Times New Roman"/>
          <w:sz w:val="22"/>
          <w:szCs w:val="22"/>
        </w:rPr>
        <w:t xml:space="preserve"> </w:t>
      </w:r>
      <w:r w:rsidRPr="000271DA">
        <w:rPr>
          <w:rFonts w:ascii="Times New Roman" w:hAnsi="Times New Roman" w:cs="Times New Roman"/>
          <w:sz w:val="22"/>
          <w:szCs w:val="22"/>
        </w:rPr>
        <w:t>businesses and a number of different lines of insurance. Nothing in the record</w:t>
      </w:r>
      <w:r>
        <w:rPr>
          <w:rFonts w:ascii="Times New Roman" w:hAnsi="Times New Roman" w:cs="Times New Roman"/>
          <w:sz w:val="22"/>
          <w:szCs w:val="22"/>
        </w:rPr>
        <w:t xml:space="preserve"> </w:t>
      </w:r>
      <w:r w:rsidRPr="000271DA">
        <w:rPr>
          <w:rFonts w:ascii="Times New Roman" w:hAnsi="Times New Roman" w:cs="Times New Roman"/>
          <w:sz w:val="22"/>
          <w:szCs w:val="22"/>
        </w:rPr>
        <w:t>indicates that Reserve or anyone performing activities on Reserve</w:t>
      </w:r>
      <w:r>
        <w:rPr>
          <w:rFonts w:ascii="Times New Roman" w:hAnsi="Times New Roman" w:cs="Times New Roman"/>
          <w:sz w:val="22"/>
          <w:szCs w:val="22"/>
        </w:rPr>
        <w:t>’</w:t>
      </w:r>
      <w:r w:rsidRPr="000271DA">
        <w:rPr>
          <w:rFonts w:ascii="Times New Roman" w:hAnsi="Times New Roman" w:cs="Times New Roman"/>
          <w:sz w:val="22"/>
          <w:szCs w:val="22"/>
        </w:rPr>
        <w:t>s behalf</w:t>
      </w:r>
      <w:r>
        <w:rPr>
          <w:rFonts w:ascii="Times New Roman" w:hAnsi="Times New Roman" w:cs="Times New Roman"/>
          <w:sz w:val="22"/>
          <w:szCs w:val="22"/>
        </w:rPr>
        <w:t xml:space="preserve"> </w:t>
      </w:r>
      <w:r w:rsidRPr="003E2AAA">
        <w:rPr>
          <w:rFonts w:ascii="Times New Roman" w:hAnsi="Times New Roman" w:cs="Times New Roman"/>
          <w:sz w:val="22"/>
          <w:szCs w:val="22"/>
        </w:rPr>
        <w:t>evaluated these risks before executing the quota share policies.”  These statements by the Court were simply not true</w:t>
      </w:r>
      <w:r>
        <w:rPr>
          <w:rFonts w:ascii="Times New Roman" w:hAnsi="Times New Roman" w:cs="Times New Roman"/>
          <w:sz w:val="22"/>
          <w:szCs w:val="22"/>
        </w:rPr>
        <w:t xml:space="preserve"> but neither are they relevant to the issues at hand</w:t>
      </w:r>
      <w:r w:rsidRPr="003E2AAA">
        <w:rPr>
          <w:rFonts w:ascii="Times New Roman" w:hAnsi="Times New Roman" w:cs="Times New Roman"/>
          <w:sz w:val="22"/>
          <w:szCs w:val="22"/>
        </w:rPr>
        <w:t>.  The details of the expected pooling arrangement and reinsurance arrangement with PoolRe were explained in detail in the feasibility study that w</w:t>
      </w:r>
      <w:r>
        <w:rPr>
          <w:rFonts w:ascii="Times New Roman" w:hAnsi="Times New Roman" w:cs="Times New Roman"/>
          <w:sz w:val="22"/>
          <w:szCs w:val="22"/>
        </w:rPr>
        <w:t>as</w:t>
      </w:r>
      <w:r w:rsidRPr="003E2AAA">
        <w:rPr>
          <w:rFonts w:ascii="Times New Roman" w:hAnsi="Times New Roman" w:cs="Times New Roman"/>
          <w:sz w:val="22"/>
          <w:szCs w:val="22"/>
        </w:rPr>
        <w:t xml:space="preserve"> issued to Peak Mechanical.  Furthermore, the fact that Reserve executed the quota share agreement with PoolRe is evidence that its owners read and understood the PoolRe pooling arrangement</w:t>
      </w:r>
      <w:r>
        <w:rPr>
          <w:rFonts w:ascii="Times New Roman" w:hAnsi="Times New Roman" w:cs="Times New Roman"/>
          <w:sz w:val="22"/>
          <w:szCs w:val="22"/>
        </w:rPr>
        <w:t xml:space="preserve">.  See </w:t>
      </w:r>
      <w:r w:rsidRPr="00D540BF">
        <w:rPr>
          <w:rFonts w:ascii="Times New Roman" w:hAnsi="Times New Roman" w:cs="Times New Roman"/>
          <w:i/>
          <w:sz w:val="22"/>
          <w:szCs w:val="22"/>
        </w:rPr>
        <w:t>Hayes v. Travelers Ins. Co.</w:t>
      </w:r>
      <w:r w:rsidRPr="00D540BF">
        <w:rPr>
          <w:rFonts w:ascii="Times New Roman" w:hAnsi="Times New Roman" w:cs="Times New Roman"/>
          <w:sz w:val="22"/>
          <w:szCs w:val="22"/>
        </w:rPr>
        <w:t>, 93 F.2d 568, 571 (10th Cir. 1937)</w:t>
      </w:r>
      <w:r>
        <w:rPr>
          <w:rFonts w:ascii="Times New Roman" w:hAnsi="Times New Roman" w:cs="Times New Roman"/>
          <w:sz w:val="22"/>
          <w:szCs w:val="22"/>
        </w:rPr>
        <w:t xml:space="preserve"> (holding that,</w:t>
      </w:r>
      <w:r w:rsidRPr="00522E19">
        <w:rPr>
          <w:rFonts w:ascii="Times New Roman" w:hAnsi="Times New Roman" w:cs="Times New Roman"/>
          <w:sz w:val="22"/>
          <w:szCs w:val="22"/>
        </w:rPr>
        <w:t xml:space="preserve"> </w:t>
      </w:r>
      <w:r>
        <w:rPr>
          <w:rFonts w:ascii="Times New Roman" w:hAnsi="Times New Roman" w:cs="Times New Roman"/>
          <w:sz w:val="22"/>
          <w:szCs w:val="22"/>
        </w:rPr>
        <w:t>o</w:t>
      </w:r>
      <w:r w:rsidRPr="00C55B40">
        <w:rPr>
          <w:rFonts w:ascii="Times New Roman" w:hAnsi="Times New Roman" w:cs="Times New Roman"/>
          <w:sz w:val="22"/>
          <w:szCs w:val="22"/>
        </w:rPr>
        <w:t xml:space="preserve">ne having the capacity and opportunity to read a contract, who executes it without reading it, in the absence of fraud or imposition, or special circumstances excusing his failure to read it, is charged with knowledge of its contents and cannot avoid the contract by asserting that it did not express what he </w:t>
      </w:r>
      <w:r w:rsidRPr="00D418E1">
        <w:rPr>
          <w:rFonts w:ascii="Times New Roman" w:hAnsi="Times New Roman" w:cs="Times New Roman"/>
          <w:sz w:val="22"/>
          <w:szCs w:val="22"/>
        </w:rPr>
        <w:t xml:space="preserve">intended).  It is especially odd when non-parties to a contract argue against its full force and effect while the parties to the contract take no issue with such.  If this argument had been made by the government – which it was not – as opposed to its being raised </w:t>
      </w:r>
      <w:r w:rsidRPr="00D418E1">
        <w:rPr>
          <w:rFonts w:ascii="Times New Roman" w:hAnsi="Times New Roman" w:cs="Times New Roman"/>
          <w:i/>
          <w:sz w:val="22"/>
          <w:szCs w:val="22"/>
        </w:rPr>
        <w:t>sua sponte</w:t>
      </w:r>
      <w:r w:rsidRPr="00D418E1">
        <w:rPr>
          <w:rFonts w:ascii="Times New Roman" w:hAnsi="Times New Roman" w:cs="Times New Roman"/>
          <w:sz w:val="22"/>
          <w:szCs w:val="22"/>
        </w:rPr>
        <w:t xml:space="preserve"> by the Court, the government, as a non-party to the contract, wouldn’t even have standing to complain.</w:t>
      </w:r>
    </w:p>
    <w:p w14:paraId="30E43183" w14:textId="75DEF895" w:rsidR="00FC046A" w:rsidRDefault="00FC046A" w:rsidP="00AD56BE">
      <w:pPr>
        <w:pStyle w:val="EndnoteText"/>
        <w:rPr>
          <w:rFonts w:ascii="Times New Roman" w:hAnsi="Times New Roman" w:cs="Times New Roman"/>
          <w:sz w:val="22"/>
          <w:szCs w:val="22"/>
        </w:rPr>
      </w:pPr>
      <w:r>
        <w:rPr>
          <w:rFonts w:ascii="Times New Roman" w:hAnsi="Times New Roman" w:cs="Times New Roman"/>
          <w:sz w:val="22"/>
          <w:szCs w:val="22"/>
        </w:rPr>
        <w:t xml:space="preserve"> </w:t>
      </w:r>
    </w:p>
    <w:p w14:paraId="3D4C4116" w14:textId="55E43ECF" w:rsidR="00FC046A" w:rsidRDefault="00FC046A" w:rsidP="00AD56BE">
      <w:pPr>
        <w:pStyle w:val="EndnoteText"/>
        <w:rPr>
          <w:rFonts w:ascii="Times New Roman" w:hAnsi="Times New Roman" w:cs="Times New Roman"/>
          <w:sz w:val="22"/>
          <w:szCs w:val="22"/>
        </w:rPr>
      </w:pPr>
      <w:r>
        <w:rPr>
          <w:rFonts w:ascii="Times New Roman" w:hAnsi="Times New Roman" w:cs="Times New Roman"/>
          <w:sz w:val="22"/>
          <w:szCs w:val="22"/>
        </w:rPr>
        <w:t>In the Opinion at 51-52, the Court further stated that “</w:t>
      </w:r>
      <w:r w:rsidRPr="0066771E">
        <w:rPr>
          <w:rFonts w:ascii="Times New Roman" w:hAnsi="Times New Roman" w:cs="Times New Roman"/>
          <w:sz w:val="22"/>
          <w:szCs w:val="22"/>
        </w:rPr>
        <w:t>Reserve contends that the</w:t>
      </w:r>
      <w:r>
        <w:rPr>
          <w:rFonts w:ascii="Times New Roman" w:hAnsi="Times New Roman" w:cs="Times New Roman"/>
          <w:sz w:val="22"/>
          <w:szCs w:val="22"/>
        </w:rPr>
        <w:t xml:space="preserve"> </w:t>
      </w:r>
      <w:r w:rsidRPr="0066771E">
        <w:rPr>
          <w:rFonts w:ascii="Times New Roman" w:hAnsi="Times New Roman" w:cs="Times New Roman"/>
          <w:sz w:val="22"/>
          <w:szCs w:val="22"/>
        </w:rPr>
        <w:t>reinsurance agreements allowed it to distribute risk. However, Reserve did not</w:t>
      </w:r>
      <w:r>
        <w:rPr>
          <w:rFonts w:ascii="Times New Roman" w:hAnsi="Times New Roman" w:cs="Times New Roman"/>
          <w:sz w:val="22"/>
          <w:szCs w:val="22"/>
        </w:rPr>
        <w:t xml:space="preserve"> </w:t>
      </w:r>
      <w:r w:rsidRPr="0066771E">
        <w:rPr>
          <w:rFonts w:ascii="Times New Roman" w:hAnsi="Times New Roman" w:cs="Times New Roman"/>
          <w:sz w:val="22"/>
          <w:szCs w:val="22"/>
        </w:rPr>
        <w:t>show that anyone with a financial interest in its operations considered the details</w:t>
      </w:r>
      <w:r>
        <w:rPr>
          <w:rFonts w:ascii="Times New Roman" w:hAnsi="Times New Roman" w:cs="Times New Roman"/>
          <w:sz w:val="22"/>
          <w:szCs w:val="22"/>
        </w:rPr>
        <w:t xml:space="preserve"> </w:t>
      </w:r>
      <w:r w:rsidRPr="0066771E">
        <w:rPr>
          <w:rFonts w:ascii="Times New Roman" w:hAnsi="Times New Roman" w:cs="Times New Roman"/>
          <w:sz w:val="22"/>
          <w:szCs w:val="22"/>
        </w:rPr>
        <w:t>of the quota share policies and the coinsurance contracts and considered whether</w:t>
      </w:r>
      <w:r w:rsidRPr="00AD56BE">
        <w:t xml:space="preserve"> </w:t>
      </w:r>
      <w:r w:rsidRPr="00AD56BE">
        <w:rPr>
          <w:rFonts w:ascii="Times New Roman" w:hAnsi="Times New Roman" w:cs="Times New Roman"/>
          <w:sz w:val="22"/>
          <w:szCs w:val="22"/>
        </w:rPr>
        <w:t>risk was distributed. Zumbaum did not understand the details of Reserve</w:t>
      </w:r>
      <w:r>
        <w:rPr>
          <w:rFonts w:ascii="Times New Roman" w:hAnsi="Times New Roman" w:cs="Times New Roman"/>
          <w:sz w:val="22"/>
          <w:szCs w:val="22"/>
        </w:rPr>
        <w:t>’</w:t>
      </w:r>
      <w:r w:rsidRPr="00AD56BE">
        <w:rPr>
          <w:rFonts w:ascii="Times New Roman" w:hAnsi="Times New Roman" w:cs="Times New Roman"/>
          <w:sz w:val="22"/>
          <w:szCs w:val="22"/>
        </w:rPr>
        <w:t>s</w:t>
      </w:r>
      <w:r>
        <w:rPr>
          <w:rFonts w:ascii="Times New Roman" w:hAnsi="Times New Roman" w:cs="Times New Roman"/>
          <w:sz w:val="22"/>
          <w:szCs w:val="22"/>
        </w:rPr>
        <w:t xml:space="preserve"> </w:t>
      </w:r>
      <w:r w:rsidRPr="00AD56BE">
        <w:rPr>
          <w:rFonts w:ascii="Times New Roman" w:hAnsi="Times New Roman" w:cs="Times New Roman"/>
          <w:sz w:val="22"/>
          <w:szCs w:val="22"/>
        </w:rPr>
        <w:t>operations and relied upon Capstone</w:t>
      </w:r>
      <w:r>
        <w:rPr>
          <w:rFonts w:ascii="Times New Roman" w:hAnsi="Times New Roman" w:cs="Times New Roman"/>
          <w:sz w:val="22"/>
          <w:szCs w:val="22"/>
        </w:rPr>
        <w:t>’</w:t>
      </w:r>
      <w:r w:rsidRPr="00AD56BE">
        <w:rPr>
          <w:rFonts w:ascii="Times New Roman" w:hAnsi="Times New Roman" w:cs="Times New Roman"/>
          <w:sz w:val="22"/>
          <w:szCs w:val="22"/>
        </w:rPr>
        <w:t>s advice. There is no evidence that Reserve</w:t>
      </w:r>
      <w:r>
        <w:rPr>
          <w:rFonts w:ascii="Times New Roman" w:hAnsi="Times New Roman" w:cs="Times New Roman"/>
          <w:sz w:val="22"/>
          <w:szCs w:val="22"/>
        </w:rPr>
        <w:t xml:space="preserve"> </w:t>
      </w:r>
      <w:r w:rsidRPr="00AD56BE">
        <w:rPr>
          <w:rFonts w:ascii="Times New Roman" w:hAnsi="Times New Roman" w:cs="Times New Roman"/>
          <w:sz w:val="22"/>
          <w:szCs w:val="22"/>
        </w:rPr>
        <w:t>engaged in any due diligence to determine whether it was adequately distributing</w:t>
      </w:r>
      <w:r>
        <w:rPr>
          <w:rFonts w:ascii="Times New Roman" w:hAnsi="Times New Roman" w:cs="Times New Roman"/>
          <w:sz w:val="22"/>
          <w:szCs w:val="22"/>
        </w:rPr>
        <w:t xml:space="preserve"> </w:t>
      </w:r>
      <w:r w:rsidRPr="00AD56BE">
        <w:rPr>
          <w:rFonts w:ascii="Times New Roman" w:hAnsi="Times New Roman" w:cs="Times New Roman"/>
          <w:sz w:val="22"/>
          <w:szCs w:val="22"/>
        </w:rPr>
        <w:t>risk.</w:t>
      </w:r>
      <w:r>
        <w:rPr>
          <w:rFonts w:ascii="Times New Roman" w:hAnsi="Times New Roman" w:cs="Times New Roman"/>
          <w:sz w:val="22"/>
          <w:szCs w:val="22"/>
        </w:rPr>
        <w:t>”</w:t>
      </w:r>
    </w:p>
    <w:p w14:paraId="3169C24F" w14:textId="77777777" w:rsidR="00FC046A" w:rsidRDefault="00FC046A" w:rsidP="00AD56BE">
      <w:pPr>
        <w:pStyle w:val="EndnoteText"/>
        <w:rPr>
          <w:rFonts w:ascii="Times New Roman" w:hAnsi="Times New Roman" w:cs="Times New Roman"/>
          <w:sz w:val="22"/>
          <w:szCs w:val="22"/>
        </w:rPr>
      </w:pPr>
    </w:p>
    <w:p w14:paraId="415017F5" w14:textId="3669488D" w:rsidR="00FC046A" w:rsidRDefault="00FC046A" w:rsidP="00AD56BE">
      <w:pPr>
        <w:pStyle w:val="EndnoteText"/>
        <w:rPr>
          <w:rFonts w:ascii="Times New Roman" w:hAnsi="Times New Roman" w:cs="Times New Roman"/>
          <w:sz w:val="22"/>
          <w:szCs w:val="22"/>
        </w:rPr>
      </w:pPr>
      <w:r>
        <w:rPr>
          <w:rFonts w:ascii="Times New Roman" w:hAnsi="Times New Roman" w:cs="Times New Roman"/>
          <w:sz w:val="22"/>
          <w:szCs w:val="22"/>
        </w:rPr>
        <w:t xml:space="preserve">As explained above, Capstone and other advisors counseled Reserve on the pooling arrangement and other reinsurance activities which PoolRe ceded to Reserve, and Reserve’s owners were well aware of (and do not dispute) these activities before Reserve </w:t>
      </w:r>
      <w:r w:rsidRPr="008A56B9">
        <w:rPr>
          <w:rFonts w:ascii="Times New Roman" w:hAnsi="Times New Roman" w:cs="Times New Roman"/>
          <w:sz w:val="22"/>
          <w:szCs w:val="22"/>
        </w:rPr>
        <w:t>execut</w:t>
      </w:r>
      <w:r>
        <w:rPr>
          <w:rFonts w:ascii="Times New Roman" w:hAnsi="Times New Roman" w:cs="Times New Roman"/>
          <w:sz w:val="22"/>
          <w:szCs w:val="22"/>
        </w:rPr>
        <w:t>ed</w:t>
      </w:r>
      <w:r w:rsidRPr="008A56B9">
        <w:rPr>
          <w:rFonts w:ascii="Times New Roman" w:hAnsi="Times New Roman" w:cs="Times New Roman"/>
          <w:sz w:val="22"/>
          <w:szCs w:val="22"/>
        </w:rPr>
        <w:t xml:space="preserve"> the quota share policies</w:t>
      </w:r>
      <w:r>
        <w:rPr>
          <w:rFonts w:ascii="Times New Roman" w:hAnsi="Times New Roman" w:cs="Times New Roman"/>
          <w:sz w:val="22"/>
          <w:szCs w:val="22"/>
        </w:rPr>
        <w:t xml:space="preserve"> and participated in the pooling arrangement making hundreds of thousands of dollars of payments to it.  The above comments from the Court do not respect the fact that a captive insurance arrangement is a complex undertaking and that it is usual and typical for the persons responsible for administering the captive to rely on its advisors, including qualified insurance professionals, attorneys, accountants, actuaries, etc.  The Court is apparently establishing a new standard in contract law wherein an agreement is only binding on a party if a third party (the government) can conclude that the signatory’s officers and owner sufficiently considered (in the Court’s view) the implications of entering into the agreement. The Court’s analysis is an anathema to contract law.</w:t>
      </w:r>
    </w:p>
    <w:p w14:paraId="38B3E1E1" w14:textId="77777777" w:rsidR="00FC046A" w:rsidRPr="00C133EE" w:rsidRDefault="00FC046A">
      <w:pPr>
        <w:pStyle w:val="EndnoteText"/>
        <w:rPr>
          <w:rFonts w:ascii="Times New Roman" w:hAnsi="Times New Roman" w:cs="Times New Roman"/>
          <w:sz w:val="22"/>
          <w:szCs w:val="22"/>
        </w:rPr>
      </w:pPr>
    </w:p>
  </w:endnote>
  <w:endnote w:id="82">
    <w:p w14:paraId="67ED4057" w14:textId="710291AD" w:rsidR="00FC046A" w:rsidRPr="001A493A" w:rsidRDefault="00FC046A">
      <w:pPr>
        <w:pStyle w:val="EndnoteText"/>
        <w:rPr>
          <w:rFonts w:ascii="Times New Roman" w:hAnsi="Times New Roman" w:cs="Times New Roman"/>
          <w:sz w:val="22"/>
          <w:szCs w:val="22"/>
        </w:rPr>
      </w:pPr>
      <w:r w:rsidRPr="001A493A">
        <w:rPr>
          <w:rStyle w:val="EndnoteReference"/>
          <w:rFonts w:ascii="Times New Roman" w:hAnsi="Times New Roman" w:cs="Times New Roman"/>
          <w:sz w:val="22"/>
          <w:szCs w:val="22"/>
        </w:rPr>
        <w:endnoteRef/>
      </w:r>
      <w:r w:rsidRPr="001A493A">
        <w:rPr>
          <w:rFonts w:ascii="Times New Roman" w:hAnsi="Times New Roman" w:cs="Times New Roman"/>
          <w:sz w:val="22"/>
          <w:szCs w:val="22"/>
        </w:rPr>
        <w:t xml:space="preserve"> See Exhibit 16-J (Captive Insurance Feasibility Study for Peak Mechanical &amp; Components, Inc., Initial Site Visit: August 13, 2008), </w:t>
      </w:r>
      <w:r>
        <w:rPr>
          <w:rFonts w:ascii="Times New Roman" w:hAnsi="Times New Roman" w:cs="Times New Roman"/>
          <w:sz w:val="22"/>
          <w:szCs w:val="22"/>
        </w:rPr>
        <w:t>at 22, Section IV.2 (Advantages to Captives), subsection on “</w:t>
      </w:r>
      <w:r w:rsidRPr="006B7733">
        <w:rPr>
          <w:rFonts w:ascii="Times New Roman" w:hAnsi="Times New Roman" w:cs="Times New Roman"/>
          <w:sz w:val="22"/>
          <w:szCs w:val="22"/>
        </w:rPr>
        <w:t>Goals with Respect to Forming a Captive</w:t>
      </w:r>
      <w:r>
        <w:rPr>
          <w:rFonts w:ascii="Times New Roman" w:hAnsi="Times New Roman" w:cs="Times New Roman"/>
          <w:sz w:val="22"/>
          <w:szCs w:val="22"/>
        </w:rPr>
        <w:t>.”</w:t>
      </w:r>
    </w:p>
    <w:p w14:paraId="13CA2E03" w14:textId="77777777" w:rsidR="00FC046A" w:rsidRPr="0087669B" w:rsidRDefault="00FC046A">
      <w:pPr>
        <w:pStyle w:val="EndnoteText"/>
        <w:rPr>
          <w:rFonts w:ascii="Times New Roman" w:hAnsi="Times New Roman" w:cs="Times New Roman"/>
          <w:sz w:val="22"/>
          <w:szCs w:val="22"/>
        </w:rPr>
      </w:pPr>
    </w:p>
  </w:endnote>
  <w:endnote w:id="83">
    <w:p w14:paraId="1E62F6A5" w14:textId="4779C3BD" w:rsidR="00FC046A" w:rsidRPr="0087669B" w:rsidRDefault="00FC046A">
      <w:pPr>
        <w:pStyle w:val="EndnoteText"/>
        <w:rPr>
          <w:rFonts w:ascii="Times New Roman" w:hAnsi="Times New Roman" w:cs="Times New Roman"/>
          <w:sz w:val="22"/>
          <w:szCs w:val="22"/>
        </w:rPr>
      </w:pPr>
      <w:r w:rsidRPr="0087669B">
        <w:rPr>
          <w:rStyle w:val="EndnoteReference"/>
          <w:rFonts w:ascii="Times New Roman" w:hAnsi="Times New Roman" w:cs="Times New Roman"/>
          <w:sz w:val="22"/>
          <w:szCs w:val="22"/>
        </w:rPr>
        <w:endnoteRef/>
      </w:r>
      <w:r w:rsidRPr="0087669B">
        <w:rPr>
          <w:rFonts w:ascii="Times New Roman" w:hAnsi="Times New Roman" w:cs="Times New Roman"/>
          <w:sz w:val="22"/>
          <w:szCs w:val="22"/>
        </w:rPr>
        <w:t xml:space="preserve"> See testimony of Lance McNeel, </w:t>
      </w:r>
      <w:r>
        <w:rPr>
          <w:rFonts w:ascii="Times New Roman" w:hAnsi="Times New Roman" w:cs="Times New Roman"/>
          <w:sz w:val="22"/>
          <w:szCs w:val="22"/>
        </w:rPr>
        <w:t>Tr.</w:t>
      </w:r>
      <w:r w:rsidRPr="0087669B">
        <w:rPr>
          <w:rFonts w:ascii="Times New Roman" w:hAnsi="Times New Roman" w:cs="Times New Roman"/>
          <w:sz w:val="22"/>
          <w:szCs w:val="22"/>
        </w:rPr>
        <w:t xml:space="preserve"> at 403-404, where Mr. McNeel testified that “the feasibility study was drafted a few weeks after the site visit,” which took place in August 2008</w:t>
      </w:r>
      <w:r>
        <w:rPr>
          <w:rFonts w:ascii="Times New Roman" w:hAnsi="Times New Roman" w:cs="Times New Roman"/>
          <w:sz w:val="22"/>
          <w:szCs w:val="22"/>
        </w:rPr>
        <w:t xml:space="preserve"> and well ahead of Reserve’s formation on December 3, 2008.</w:t>
      </w:r>
    </w:p>
    <w:p w14:paraId="4544C599" w14:textId="77777777" w:rsidR="00FC046A" w:rsidRPr="0087669B" w:rsidRDefault="00FC046A">
      <w:pPr>
        <w:pStyle w:val="EndnoteText"/>
        <w:rPr>
          <w:rFonts w:ascii="Times New Roman" w:hAnsi="Times New Roman" w:cs="Times New Roman"/>
          <w:sz w:val="22"/>
          <w:szCs w:val="22"/>
        </w:rPr>
      </w:pPr>
    </w:p>
  </w:endnote>
  <w:endnote w:id="84">
    <w:p w14:paraId="4E53EBDA" w14:textId="25571389" w:rsidR="00FC046A" w:rsidRDefault="00FC046A">
      <w:pPr>
        <w:pStyle w:val="EndnoteText"/>
        <w:rPr>
          <w:rFonts w:ascii="Times New Roman" w:hAnsi="Times New Roman" w:cs="Times New Roman"/>
          <w:sz w:val="22"/>
          <w:szCs w:val="22"/>
        </w:rPr>
      </w:pPr>
      <w:r w:rsidRPr="0042594D">
        <w:rPr>
          <w:rStyle w:val="EndnoteReference"/>
          <w:rFonts w:ascii="Times New Roman" w:hAnsi="Times New Roman" w:cs="Times New Roman"/>
          <w:sz w:val="22"/>
          <w:szCs w:val="22"/>
        </w:rPr>
        <w:endnoteRef/>
      </w:r>
      <w:r w:rsidRPr="0042594D">
        <w:rPr>
          <w:rFonts w:ascii="Times New Roman" w:hAnsi="Times New Roman" w:cs="Times New Roman"/>
          <w:sz w:val="22"/>
          <w:szCs w:val="22"/>
        </w:rPr>
        <w:t xml:space="preserve"> Willis is a </w:t>
      </w:r>
      <w:r>
        <w:rPr>
          <w:rFonts w:ascii="Times New Roman" w:hAnsi="Times New Roman" w:cs="Times New Roman"/>
          <w:sz w:val="22"/>
          <w:szCs w:val="22"/>
        </w:rPr>
        <w:t xml:space="preserve">global </w:t>
      </w:r>
      <w:r w:rsidRPr="0042594D">
        <w:rPr>
          <w:rFonts w:ascii="Times New Roman" w:hAnsi="Times New Roman" w:cs="Times New Roman"/>
          <w:sz w:val="22"/>
          <w:szCs w:val="22"/>
        </w:rPr>
        <w:t xml:space="preserve">multinational risk </w:t>
      </w:r>
      <w:r>
        <w:rPr>
          <w:rFonts w:ascii="Times New Roman" w:hAnsi="Times New Roman" w:cs="Times New Roman"/>
          <w:sz w:val="22"/>
          <w:szCs w:val="22"/>
        </w:rPr>
        <w:t>management</w:t>
      </w:r>
      <w:r w:rsidRPr="0042594D">
        <w:rPr>
          <w:rFonts w:ascii="Times New Roman" w:hAnsi="Times New Roman" w:cs="Times New Roman"/>
          <w:sz w:val="22"/>
          <w:szCs w:val="22"/>
        </w:rPr>
        <w:t>, insurance brokerage</w:t>
      </w:r>
      <w:r>
        <w:rPr>
          <w:rFonts w:ascii="Times New Roman" w:hAnsi="Times New Roman" w:cs="Times New Roman"/>
          <w:sz w:val="22"/>
          <w:szCs w:val="22"/>
        </w:rPr>
        <w:t xml:space="preserve">, </w:t>
      </w:r>
      <w:r w:rsidRPr="0042594D">
        <w:rPr>
          <w:rFonts w:ascii="Times New Roman" w:hAnsi="Times New Roman" w:cs="Times New Roman"/>
          <w:sz w:val="22"/>
          <w:szCs w:val="22"/>
        </w:rPr>
        <w:t>reinsurance brokerage</w:t>
      </w:r>
      <w:r>
        <w:rPr>
          <w:rFonts w:ascii="Times New Roman" w:hAnsi="Times New Roman" w:cs="Times New Roman"/>
          <w:sz w:val="22"/>
          <w:szCs w:val="22"/>
        </w:rPr>
        <w:t xml:space="preserve">, and advisory </w:t>
      </w:r>
      <w:r w:rsidRPr="0042594D">
        <w:rPr>
          <w:rFonts w:ascii="Times New Roman" w:hAnsi="Times New Roman" w:cs="Times New Roman"/>
          <w:sz w:val="22"/>
          <w:szCs w:val="22"/>
        </w:rPr>
        <w:t>company</w:t>
      </w:r>
      <w:r>
        <w:rPr>
          <w:rFonts w:ascii="Times New Roman" w:hAnsi="Times New Roman" w:cs="Times New Roman"/>
          <w:sz w:val="22"/>
          <w:szCs w:val="22"/>
        </w:rPr>
        <w:t xml:space="preserve">.  </w:t>
      </w:r>
      <w:r w:rsidRPr="0042594D">
        <w:rPr>
          <w:rFonts w:ascii="Times New Roman" w:hAnsi="Times New Roman" w:cs="Times New Roman"/>
          <w:sz w:val="22"/>
          <w:szCs w:val="22"/>
        </w:rPr>
        <w:t xml:space="preserve">It is the world's </w:t>
      </w:r>
      <w:r>
        <w:rPr>
          <w:rFonts w:ascii="Times New Roman" w:hAnsi="Times New Roman" w:cs="Times New Roman"/>
          <w:sz w:val="22"/>
          <w:szCs w:val="22"/>
        </w:rPr>
        <w:t>third</w:t>
      </w:r>
      <w:r w:rsidRPr="0042594D">
        <w:rPr>
          <w:rFonts w:ascii="Times New Roman" w:hAnsi="Times New Roman" w:cs="Times New Roman"/>
          <w:sz w:val="22"/>
          <w:szCs w:val="22"/>
        </w:rPr>
        <w:t xml:space="preserve">-largest insurance broker </w:t>
      </w:r>
      <w:r>
        <w:rPr>
          <w:rFonts w:ascii="Times New Roman" w:hAnsi="Times New Roman" w:cs="Times New Roman"/>
          <w:sz w:val="22"/>
          <w:szCs w:val="22"/>
        </w:rPr>
        <w:t>with 39</w:t>
      </w:r>
      <w:r w:rsidRPr="0042594D">
        <w:rPr>
          <w:rFonts w:ascii="Times New Roman" w:hAnsi="Times New Roman" w:cs="Times New Roman"/>
          <w:sz w:val="22"/>
          <w:szCs w:val="22"/>
        </w:rPr>
        <w:t>,000</w:t>
      </w:r>
      <w:r>
        <w:rPr>
          <w:rFonts w:ascii="Times New Roman" w:hAnsi="Times New Roman" w:cs="Times New Roman"/>
          <w:sz w:val="22"/>
          <w:szCs w:val="22"/>
        </w:rPr>
        <w:t xml:space="preserve"> </w:t>
      </w:r>
      <w:r w:rsidRPr="0042594D">
        <w:rPr>
          <w:rFonts w:ascii="Times New Roman" w:hAnsi="Times New Roman" w:cs="Times New Roman"/>
          <w:sz w:val="22"/>
          <w:szCs w:val="22"/>
        </w:rPr>
        <w:t>employees.</w:t>
      </w:r>
      <w:r>
        <w:rPr>
          <w:rFonts w:ascii="Times New Roman" w:hAnsi="Times New Roman" w:cs="Times New Roman"/>
          <w:sz w:val="22"/>
          <w:szCs w:val="22"/>
        </w:rPr>
        <w:t xml:space="preserve">  </w:t>
      </w:r>
    </w:p>
    <w:p w14:paraId="048BDDF8" w14:textId="77777777" w:rsidR="00FC046A" w:rsidRPr="00D5467D" w:rsidRDefault="00FC046A">
      <w:pPr>
        <w:pStyle w:val="EndnoteText"/>
        <w:rPr>
          <w:rFonts w:ascii="Times New Roman" w:hAnsi="Times New Roman" w:cs="Times New Roman"/>
          <w:sz w:val="22"/>
          <w:szCs w:val="22"/>
        </w:rPr>
      </w:pPr>
    </w:p>
  </w:endnote>
  <w:endnote w:id="85">
    <w:p w14:paraId="04CF296C" w14:textId="18953B80" w:rsidR="00FC046A" w:rsidRPr="00D5467D" w:rsidRDefault="00FC046A">
      <w:pPr>
        <w:pStyle w:val="EndnoteText"/>
        <w:rPr>
          <w:rFonts w:ascii="Times New Roman" w:hAnsi="Times New Roman" w:cs="Times New Roman"/>
          <w:sz w:val="22"/>
          <w:szCs w:val="22"/>
        </w:rPr>
      </w:pPr>
      <w:r w:rsidRPr="00D5467D">
        <w:rPr>
          <w:rStyle w:val="EndnoteReference"/>
          <w:rFonts w:ascii="Times New Roman" w:hAnsi="Times New Roman" w:cs="Times New Roman"/>
          <w:sz w:val="22"/>
          <w:szCs w:val="22"/>
        </w:rPr>
        <w:endnoteRef/>
      </w:r>
      <w:r w:rsidRPr="00D5467D">
        <w:rPr>
          <w:rFonts w:ascii="Times New Roman" w:hAnsi="Times New Roman" w:cs="Times New Roman"/>
          <w:sz w:val="22"/>
          <w:szCs w:val="22"/>
        </w:rPr>
        <w:t xml:space="preserve"> See Opinion</w:t>
      </w:r>
      <w:r>
        <w:rPr>
          <w:rFonts w:ascii="Times New Roman" w:hAnsi="Times New Roman" w:cs="Times New Roman"/>
          <w:sz w:val="22"/>
          <w:szCs w:val="22"/>
        </w:rPr>
        <w:t xml:space="preserve"> at 11</w:t>
      </w:r>
      <w:r w:rsidRPr="00D5467D">
        <w:rPr>
          <w:rFonts w:ascii="Times New Roman" w:hAnsi="Times New Roman" w:cs="Times New Roman"/>
          <w:sz w:val="22"/>
          <w:szCs w:val="22"/>
        </w:rPr>
        <w:t>.</w:t>
      </w:r>
    </w:p>
    <w:p w14:paraId="1A74BBCD" w14:textId="77777777" w:rsidR="00FC046A" w:rsidRPr="00D5467D" w:rsidRDefault="00FC046A">
      <w:pPr>
        <w:pStyle w:val="EndnoteText"/>
        <w:rPr>
          <w:rFonts w:ascii="Times New Roman" w:hAnsi="Times New Roman" w:cs="Times New Roman"/>
          <w:sz w:val="22"/>
          <w:szCs w:val="22"/>
        </w:rPr>
      </w:pPr>
    </w:p>
  </w:endnote>
  <w:endnote w:id="86">
    <w:p w14:paraId="0B55575B" w14:textId="593AB329" w:rsidR="00FC046A" w:rsidRPr="00D5467D" w:rsidRDefault="00FC046A" w:rsidP="00253818">
      <w:pPr>
        <w:pStyle w:val="EndnoteText"/>
        <w:rPr>
          <w:rFonts w:ascii="Times New Roman" w:hAnsi="Times New Roman" w:cs="Times New Roman"/>
          <w:sz w:val="22"/>
          <w:szCs w:val="22"/>
        </w:rPr>
      </w:pPr>
      <w:r w:rsidRPr="00D5467D">
        <w:rPr>
          <w:rStyle w:val="EndnoteReference"/>
          <w:rFonts w:ascii="Times New Roman" w:hAnsi="Times New Roman" w:cs="Times New Roman"/>
          <w:sz w:val="22"/>
          <w:szCs w:val="22"/>
        </w:rPr>
        <w:endnoteRef/>
      </w:r>
      <w:r w:rsidRPr="00D5467D">
        <w:rPr>
          <w:rFonts w:ascii="Times New Roman" w:hAnsi="Times New Roman" w:cs="Times New Roman"/>
          <w:sz w:val="22"/>
          <w:szCs w:val="22"/>
        </w:rPr>
        <w:t xml:space="preserve"> See testimony of Lance McNeel, </w:t>
      </w:r>
      <w:r>
        <w:rPr>
          <w:rFonts w:ascii="Times New Roman" w:hAnsi="Times New Roman" w:cs="Times New Roman"/>
          <w:sz w:val="22"/>
          <w:szCs w:val="22"/>
        </w:rPr>
        <w:t>Tr.</w:t>
      </w:r>
      <w:r w:rsidRPr="00D5467D">
        <w:rPr>
          <w:rFonts w:ascii="Times New Roman" w:hAnsi="Times New Roman" w:cs="Times New Roman"/>
          <w:sz w:val="22"/>
          <w:szCs w:val="22"/>
        </w:rPr>
        <w:t xml:space="preserve"> at </w:t>
      </w:r>
      <w:r>
        <w:rPr>
          <w:rFonts w:ascii="Times New Roman" w:hAnsi="Times New Roman" w:cs="Times New Roman"/>
          <w:sz w:val="22"/>
          <w:szCs w:val="22"/>
        </w:rPr>
        <w:t>403-404, where Mr. McNeel testified that “</w:t>
      </w:r>
      <w:r w:rsidRPr="00253818">
        <w:rPr>
          <w:rFonts w:ascii="Times New Roman" w:hAnsi="Times New Roman" w:cs="Times New Roman"/>
          <w:sz w:val="22"/>
          <w:szCs w:val="22"/>
        </w:rPr>
        <w:t>the</w:t>
      </w:r>
      <w:r>
        <w:rPr>
          <w:rFonts w:ascii="Times New Roman" w:hAnsi="Times New Roman" w:cs="Times New Roman"/>
          <w:sz w:val="22"/>
          <w:szCs w:val="22"/>
        </w:rPr>
        <w:t xml:space="preserve"> </w:t>
      </w:r>
      <w:r w:rsidRPr="00253818">
        <w:rPr>
          <w:rFonts w:ascii="Times New Roman" w:hAnsi="Times New Roman" w:cs="Times New Roman"/>
          <w:sz w:val="22"/>
          <w:szCs w:val="22"/>
        </w:rPr>
        <w:t>feasibility study was drafted a few weeks after the</w:t>
      </w:r>
      <w:r>
        <w:rPr>
          <w:rFonts w:ascii="Times New Roman" w:hAnsi="Times New Roman" w:cs="Times New Roman"/>
          <w:sz w:val="22"/>
          <w:szCs w:val="22"/>
        </w:rPr>
        <w:t xml:space="preserve"> </w:t>
      </w:r>
      <w:r w:rsidRPr="00253818">
        <w:rPr>
          <w:rFonts w:ascii="Times New Roman" w:hAnsi="Times New Roman" w:cs="Times New Roman"/>
          <w:sz w:val="22"/>
          <w:szCs w:val="22"/>
        </w:rPr>
        <w:t>site visit</w:t>
      </w:r>
      <w:r>
        <w:rPr>
          <w:rFonts w:ascii="Times New Roman" w:hAnsi="Times New Roman" w:cs="Times New Roman"/>
          <w:sz w:val="22"/>
          <w:szCs w:val="22"/>
        </w:rPr>
        <w:t>,” which took place in August 2008.</w:t>
      </w:r>
    </w:p>
    <w:p w14:paraId="6404F428" w14:textId="77777777" w:rsidR="00FC046A" w:rsidRPr="004C238E" w:rsidRDefault="00FC046A">
      <w:pPr>
        <w:pStyle w:val="EndnoteText"/>
        <w:rPr>
          <w:rFonts w:ascii="Times New Roman" w:hAnsi="Times New Roman" w:cs="Times New Roman"/>
          <w:sz w:val="22"/>
          <w:szCs w:val="22"/>
        </w:rPr>
      </w:pPr>
    </w:p>
  </w:endnote>
  <w:endnote w:id="87">
    <w:p w14:paraId="7F16345A" w14:textId="69E010A8" w:rsidR="00FC046A" w:rsidRPr="004C238E" w:rsidRDefault="00FC046A" w:rsidP="004C238E">
      <w:pPr>
        <w:pStyle w:val="EndnoteText"/>
        <w:rPr>
          <w:rFonts w:ascii="Times New Roman" w:hAnsi="Times New Roman" w:cs="Times New Roman"/>
          <w:sz w:val="22"/>
          <w:szCs w:val="22"/>
        </w:rPr>
      </w:pPr>
      <w:r w:rsidRPr="004C238E">
        <w:rPr>
          <w:rStyle w:val="EndnoteReference"/>
          <w:rFonts w:ascii="Times New Roman" w:hAnsi="Times New Roman" w:cs="Times New Roman"/>
          <w:sz w:val="22"/>
          <w:szCs w:val="22"/>
        </w:rPr>
        <w:endnoteRef/>
      </w:r>
      <w:r w:rsidRPr="004C238E">
        <w:rPr>
          <w:rFonts w:ascii="Times New Roman" w:hAnsi="Times New Roman" w:cs="Times New Roman"/>
          <w:sz w:val="22"/>
          <w:szCs w:val="22"/>
        </w:rPr>
        <w:t xml:space="preserve"> See Opinion</w:t>
      </w:r>
      <w:r>
        <w:rPr>
          <w:rFonts w:ascii="Times New Roman" w:hAnsi="Times New Roman" w:cs="Times New Roman"/>
          <w:sz w:val="22"/>
          <w:szCs w:val="22"/>
        </w:rPr>
        <w:t xml:space="preserve"> at 11</w:t>
      </w:r>
      <w:r w:rsidRPr="004C238E">
        <w:rPr>
          <w:rFonts w:ascii="Times New Roman" w:hAnsi="Times New Roman" w:cs="Times New Roman"/>
          <w:sz w:val="22"/>
          <w:szCs w:val="22"/>
        </w:rPr>
        <w:t>, where the Court stated</w:t>
      </w:r>
      <w:r>
        <w:rPr>
          <w:rFonts w:ascii="Times New Roman" w:hAnsi="Times New Roman" w:cs="Times New Roman"/>
          <w:sz w:val="22"/>
          <w:szCs w:val="22"/>
        </w:rPr>
        <w:t xml:space="preserve">: </w:t>
      </w:r>
      <w:r w:rsidRPr="004C238E">
        <w:rPr>
          <w:rFonts w:ascii="Times New Roman" w:hAnsi="Times New Roman" w:cs="Times New Roman"/>
          <w:sz w:val="22"/>
          <w:szCs w:val="22"/>
        </w:rPr>
        <w:t xml:space="preserve"> “In August 2009 the finalized feasibility study for Peak was issued, about nine months after the start of Reserve’s operations. The background documents compiled to support the feasibility study included documents that reflected Peak’s</w:t>
      </w:r>
      <w:r>
        <w:rPr>
          <w:rFonts w:ascii="Times New Roman" w:hAnsi="Times New Roman" w:cs="Times New Roman"/>
          <w:sz w:val="22"/>
          <w:szCs w:val="22"/>
        </w:rPr>
        <w:t xml:space="preserve"> </w:t>
      </w:r>
      <w:r w:rsidRPr="004C238E">
        <w:rPr>
          <w:rFonts w:ascii="Times New Roman" w:hAnsi="Times New Roman" w:cs="Times New Roman"/>
          <w:sz w:val="22"/>
          <w:szCs w:val="22"/>
        </w:rPr>
        <w:t>financial information through August 31, 2009, and the background file was updated as late as December 14, 2009.”</w:t>
      </w:r>
    </w:p>
    <w:p w14:paraId="6061F631" w14:textId="77777777" w:rsidR="00FC046A" w:rsidRPr="004C238E" w:rsidRDefault="00FC046A">
      <w:pPr>
        <w:pStyle w:val="EndnoteText"/>
        <w:rPr>
          <w:rFonts w:ascii="Times New Roman" w:hAnsi="Times New Roman" w:cs="Times New Roman"/>
          <w:sz w:val="22"/>
          <w:szCs w:val="22"/>
        </w:rPr>
      </w:pPr>
    </w:p>
  </w:endnote>
  <w:endnote w:id="88">
    <w:p w14:paraId="25C12C49" w14:textId="5045E3E6" w:rsidR="00FC046A" w:rsidRPr="00B93467" w:rsidRDefault="00FC046A" w:rsidP="004C238E">
      <w:pPr>
        <w:pStyle w:val="EndnoteText"/>
        <w:rPr>
          <w:rFonts w:ascii="Times New Roman" w:hAnsi="Times New Roman" w:cs="Times New Roman"/>
          <w:sz w:val="22"/>
          <w:szCs w:val="22"/>
        </w:rPr>
      </w:pPr>
      <w:r w:rsidRPr="00B93467">
        <w:rPr>
          <w:rStyle w:val="EndnoteReference"/>
          <w:rFonts w:ascii="Times New Roman" w:hAnsi="Times New Roman" w:cs="Times New Roman"/>
          <w:sz w:val="22"/>
          <w:szCs w:val="22"/>
        </w:rPr>
        <w:endnoteRef/>
      </w:r>
      <w:r w:rsidRPr="00B93467">
        <w:rPr>
          <w:rFonts w:ascii="Times New Roman" w:hAnsi="Times New Roman" w:cs="Times New Roman"/>
          <w:sz w:val="22"/>
          <w:szCs w:val="22"/>
        </w:rPr>
        <w:t xml:space="preserve"> </w:t>
      </w:r>
      <w:r w:rsidRPr="004C238E">
        <w:rPr>
          <w:rFonts w:ascii="Times New Roman" w:hAnsi="Times New Roman" w:cs="Times New Roman"/>
          <w:i/>
          <w:sz w:val="22"/>
          <w:szCs w:val="22"/>
        </w:rPr>
        <w:t>Id</w:t>
      </w:r>
      <w:r>
        <w:rPr>
          <w:rFonts w:ascii="Times New Roman" w:hAnsi="Times New Roman" w:cs="Times New Roman"/>
          <w:sz w:val="22"/>
          <w:szCs w:val="22"/>
        </w:rPr>
        <w:t>.</w:t>
      </w:r>
    </w:p>
    <w:p w14:paraId="084552D7" w14:textId="77777777" w:rsidR="00FC046A" w:rsidRPr="00B93467" w:rsidRDefault="00FC046A">
      <w:pPr>
        <w:pStyle w:val="EndnoteText"/>
        <w:rPr>
          <w:rFonts w:ascii="Times New Roman" w:hAnsi="Times New Roman" w:cs="Times New Roman"/>
          <w:sz w:val="22"/>
          <w:szCs w:val="22"/>
        </w:rPr>
      </w:pPr>
    </w:p>
  </w:endnote>
  <w:endnote w:id="89">
    <w:p w14:paraId="75D36373" w14:textId="7463C52E" w:rsidR="00FC046A" w:rsidRDefault="00FC046A" w:rsidP="00A207DB">
      <w:pPr>
        <w:pStyle w:val="EndnoteText"/>
        <w:rPr>
          <w:rFonts w:ascii="Times New Roman" w:hAnsi="Times New Roman" w:cs="Times New Roman"/>
          <w:sz w:val="22"/>
          <w:szCs w:val="22"/>
        </w:rPr>
      </w:pPr>
      <w:r w:rsidRPr="00782FAA">
        <w:rPr>
          <w:rStyle w:val="EndnoteReference"/>
          <w:rFonts w:ascii="Times New Roman" w:hAnsi="Times New Roman" w:cs="Times New Roman"/>
          <w:sz w:val="22"/>
          <w:szCs w:val="22"/>
        </w:rPr>
        <w:endnoteRef/>
      </w:r>
      <w:r w:rsidRPr="00782FAA">
        <w:rPr>
          <w:rFonts w:ascii="Times New Roman" w:hAnsi="Times New Roman" w:cs="Times New Roman"/>
          <w:sz w:val="22"/>
          <w:szCs w:val="22"/>
        </w:rPr>
        <w:t xml:space="preserve"> </w:t>
      </w:r>
      <w:r>
        <w:rPr>
          <w:rFonts w:ascii="Times New Roman" w:hAnsi="Times New Roman" w:cs="Times New Roman"/>
          <w:sz w:val="22"/>
          <w:szCs w:val="22"/>
        </w:rPr>
        <w:t>In the</w:t>
      </w:r>
      <w:r w:rsidRPr="00782FAA">
        <w:rPr>
          <w:rFonts w:ascii="Times New Roman" w:hAnsi="Times New Roman" w:cs="Times New Roman"/>
          <w:sz w:val="22"/>
          <w:szCs w:val="22"/>
        </w:rPr>
        <w:t xml:space="preserve"> Opinion</w:t>
      </w:r>
      <w:r>
        <w:rPr>
          <w:rFonts w:ascii="Times New Roman" w:hAnsi="Times New Roman" w:cs="Times New Roman"/>
          <w:sz w:val="22"/>
          <w:szCs w:val="22"/>
        </w:rPr>
        <w:t xml:space="preserve"> at 12</w:t>
      </w:r>
      <w:r w:rsidRPr="00782FAA">
        <w:rPr>
          <w:rFonts w:ascii="Times New Roman" w:hAnsi="Times New Roman" w:cs="Times New Roman"/>
          <w:sz w:val="22"/>
          <w:szCs w:val="22"/>
        </w:rPr>
        <w:t xml:space="preserve">, the </w:t>
      </w:r>
      <w:r>
        <w:rPr>
          <w:rFonts w:ascii="Times New Roman" w:hAnsi="Times New Roman" w:cs="Times New Roman"/>
          <w:sz w:val="22"/>
          <w:szCs w:val="22"/>
        </w:rPr>
        <w:t>C</w:t>
      </w:r>
      <w:r w:rsidRPr="00782FAA">
        <w:rPr>
          <w:rFonts w:ascii="Times New Roman" w:hAnsi="Times New Roman" w:cs="Times New Roman"/>
          <w:sz w:val="22"/>
          <w:szCs w:val="22"/>
        </w:rPr>
        <w:t xml:space="preserve">ourt stated that “The [feasibility] study did not provide detailed information regarding the other risks that </w:t>
      </w:r>
      <w:r>
        <w:rPr>
          <w:rFonts w:ascii="Times New Roman" w:hAnsi="Times New Roman" w:cs="Times New Roman"/>
          <w:sz w:val="22"/>
          <w:szCs w:val="22"/>
        </w:rPr>
        <w:t xml:space="preserve">[commercial] </w:t>
      </w:r>
      <w:r w:rsidRPr="00782FAA">
        <w:rPr>
          <w:rFonts w:ascii="Times New Roman" w:hAnsi="Times New Roman" w:cs="Times New Roman"/>
          <w:sz w:val="22"/>
          <w:szCs w:val="22"/>
        </w:rPr>
        <w:t>insurance might not cover. The study provided brief descriptions of these risks, but it included no information on the probability that these risks might occur.”</w:t>
      </w:r>
      <w:r>
        <w:rPr>
          <w:rFonts w:ascii="Times New Roman" w:hAnsi="Times New Roman" w:cs="Times New Roman"/>
          <w:sz w:val="22"/>
          <w:szCs w:val="22"/>
        </w:rPr>
        <w:t xml:space="preserve">  The Court is establishing some new, heretofore unarticulated industry standard for feasibility studies that does not exist.  The objective of the feasibility study was clearly set forth in the document itself as follows: “</w:t>
      </w:r>
      <w:r w:rsidRPr="00A207DB">
        <w:rPr>
          <w:rFonts w:ascii="Times New Roman" w:hAnsi="Times New Roman" w:cs="Times New Roman"/>
          <w:sz w:val="22"/>
          <w:szCs w:val="22"/>
        </w:rPr>
        <w:t>This feasibility study evaluates Peak</w:t>
      </w:r>
      <w:r>
        <w:rPr>
          <w:rFonts w:ascii="Times New Roman" w:hAnsi="Times New Roman" w:cs="Times New Roman"/>
          <w:sz w:val="22"/>
          <w:szCs w:val="22"/>
        </w:rPr>
        <w:t>’</w:t>
      </w:r>
      <w:r w:rsidRPr="00A207DB">
        <w:rPr>
          <w:rFonts w:ascii="Times New Roman" w:hAnsi="Times New Roman" w:cs="Times New Roman"/>
          <w:sz w:val="22"/>
          <w:szCs w:val="22"/>
        </w:rPr>
        <w:t>s desire to explore the option of forming a captive insurer for</w:t>
      </w:r>
      <w:r>
        <w:rPr>
          <w:rFonts w:ascii="Times New Roman" w:hAnsi="Times New Roman" w:cs="Times New Roman"/>
          <w:sz w:val="22"/>
          <w:szCs w:val="22"/>
        </w:rPr>
        <w:t xml:space="preserve"> </w:t>
      </w:r>
      <w:r w:rsidRPr="00A207DB">
        <w:rPr>
          <w:rFonts w:ascii="Times New Roman" w:hAnsi="Times New Roman" w:cs="Times New Roman"/>
          <w:sz w:val="22"/>
          <w:szCs w:val="22"/>
        </w:rPr>
        <w:t>the purpose of writing coverages that are generally unavailable or impractical to obtain in the</w:t>
      </w:r>
      <w:r>
        <w:rPr>
          <w:rFonts w:ascii="Times New Roman" w:hAnsi="Times New Roman" w:cs="Times New Roman"/>
          <w:sz w:val="22"/>
          <w:szCs w:val="22"/>
        </w:rPr>
        <w:t xml:space="preserve"> </w:t>
      </w:r>
      <w:r w:rsidRPr="00A207DB">
        <w:rPr>
          <w:rFonts w:ascii="Times New Roman" w:hAnsi="Times New Roman" w:cs="Times New Roman"/>
          <w:sz w:val="22"/>
          <w:szCs w:val="22"/>
        </w:rPr>
        <w:t>conventional insurance marketplace</w:t>
      </w:r>
      <w:r>
        <w:rPr>
          <w:rFonts w:ascii="Times New Roman" w:hAnsi="Times New Roman" w:cs="Times New Roman"/>
          <w:sz w:val="22"/>
          <w:szCs w:val="22"/>
        </w:rPr>
        <w:t xml:space="preserve">.”  </w:t>
      </w:r>
      <w:r w:rsidRPr="00953D41">
        <w:rPr>
          <w:rFonts w:ascii="Times New Roman" w:hAnsi="Times New Roman" w:cs="Times New Roman"/>
          <w:sz w:val="22"/>
          <w:szCs w:val="22"/>
        </w:rPr>
        <w:t>See Exhibit 16-J (Captive Insurance Feasibility Study for Peak Mechanical &amp; Components, Inc., Initial Site Visit: August 13, 2008), page 1.  The purpose of the feasibility study was not to actuarially price risks</w:t>
      </w:r>
      <w:r>
        <w:rPr>
          <w:rFonts w:ascii="Times New Roman" w:hAnsi="Times New Roman" w:cs="Times New Roman"/>
          <w:sz w:val="22"/>
          <w:szCs w:val="22"/>
        </w:rPr>
        <w:t>,</w:t>
      </w:r>
      <w:r w:rsidRPr="00953D41">
        <w:rPr>
          <w:rFonts w:ascii="Times New Roman" w:hAnsi="Times New Roman" w:cs="Times New Roman"/>
          <w:sz w:val="22"/>
          <w:szCs w:val="22"/>
        </w:rPr>
        <w:t xml:space="preserve"> as the </w:t>
      </w:r>
      <w:r>
        <w:rPr>
          <w:rFonts w:ascii="Times New Roman" w:hAnsi="Times New Roman" w:cs="Times New Roman"/>
          <w:sz w:val="22"/>
          <w:szCs w:val="22"/>
        </w:rPr>
        <w:t>C</w:t>
      </w:r>
      <w:r w:rsidRPr="00953D41">
        <w:rPr>
          <w:rFonts w:ascii="Times New Roman" w:hAnsi="Times New Roman" w:cs="Times New Roman"/>
          <w:sz w:val="22"/>
          <w:szCs w:val="22"/>
        </w:rPr>
        <w:t>ourt would have it</w:t>
      </w:r>
      <w:r>
        <w:rPr>
          <w:rFonts w:ascii="Times New Roman" w:hAnsi="Times New Roman" w:cs="Times New Roman"/>
          <w:sz w:val="22"/>
          <w:szCs w:val="22"/>
        </w:rPr>
        <w:t>,</w:t>
      </w:r>
      <w:r w:rsidRPr="00953D41">
        <w:rPr>
          <w:rFonts w:ascii="Times New Roman" w:hAnsi="Times New Roman" w:cs="Times New Roman"/>
          <w:sz w:val="22"/>
          <w:szCs w:val="22"/>
        </w:rPr>
        <w:t xml:space="preserve"> for coverages given that the coverages </w:t>
      </w:r>
      <w:r>
        <w:rPr>
          <w:rFonts w:ascii="Times New Roman" w:hAnsi="Times New Roman" w:cs="Times New Roman"/>
          <w:sz w:val="22"/>
          <w:szCs w:val="22"/>
        </w:rPr>
        <w:t xml:space="preserve">had not yet been </w:t>
      </w:r>
      <w:r w:rsidRPr="00953D41">
        <w:rPr>
          <w:rFonts w:ascii="Times New Roman" w:hAnsi="Times New Roman" w:cs="Times New Roman"/>
          <w:sz w:val="22"/>
          <w:szCs w:val="22"/>
        </w:rPr>
        <w:t xml:space="preserve">decided </w:t>
      </w:r>
      <w:r>
        <w:rPr>
          <w:rFonts w:ascii="Times New Roman" w:hAnsi="Times New Roman" w:cs="Times New Roman"/>
          <w:sz w:val="22"/>
          <w:szCs w:val="22"/>
        </w:rPr>
        <w:t xml:space="preserve">upon </w:t>
      </w:r>
      <w:r w:rsidRPr="00953D41">
        <w:rPr>
          <w:rFonts w:ascii="Times New Roman" w:hAnsi="Times New Roman" w:cs="Times New Roman"/>
          <w:sz w:val="22"/>
          <w:szCs w:val="22"/>
        </w:rPr>
        <w:t xml:space="preserve">as of the completion of the feasibility study’s fieldwork on August 13, 2008.  </w:t>
      </w:r>
    </w:p>
    <w:p w14:paraId="5F1B6A31" w14:textId="77777777" w:rsidR="00FC046A" w:rsidRDefault="00FC046A" w:rsidP="00A207DB">
      <w:pPr>
        <w:pStyle w:val="EndnoteText"/>
        <w:rPr>
          <w:rFonts w:ascii="Times New Roman" w:hAnsi="Times New Roman" w:cs="Times New Roman"/>
          <w:sz w:val="22"/>
          <w:szCs w:val="22"/>
        </w:rPr>
      </w:pPr>
    </w:p>
    <w:p w14:paraId="1A52F260" w14:textId="16FF3EDD" w:rsidR="00FC046A" w:rsidRPr="00782FAA" w:rsidRDefault="00FC046A" w:rsidP="00A207DB">
      <w:pPr>
        <w:pStyle w:val="EndnoteText"/>
        <w:rPr>
          <w:rFonts w:ascii="Times New Roman" w:hAnsi="Times New Roman" w:cs="Times New Roman"/>
          <w:sz w:val="22"/>
          <w:szCs w:val="22"/>
        </w:rPr>
      </w:pPr>
      <w:r w:rsidRPr="00953D41">
        <w:rPr>
          <w:rFonts w:ascii="Times New Roman" w:hAnsi="Times New Roman" w:cs="Times New Roman"/>
          <w:sz w:val="22"/>
          <w:szCs w:val="22"/>
        </w:rPr>
        <w:t>Simply put, the Court is making a</w:t>
      </w:r>
      <w:r>
        <w:rPr>
          <w:rFonts w:ascii="Times New Roman" w:hAnsi="Times New Roman" w:cs="Times New Roman"/>
          <w:sz w:val="22"/>
          <w:szCs w:val="22"/>
        </w:rPr>
        <w:t xml:space="preserve">n incorrect </w:t>
      </w:r>
      <w:r w:rsidRPr="00953D41">
        <w:rPr>
          <w:rFonts w:ascii="Times New Roman" w:hAnsi="Times New Roman" w:cs="Times New Roman"/>
          <w:sz w:val="22"/>
          <w:szCs w:val="22"/>
        </w:rPr>
        <w:t xml:space="preserve">argument, establishing </w:t>
      </w:r>
      <w:r w:rsidRPr="00A5315D">
        <w:rPr>
          <w:rFonts w:ascii="Times New Roman" w:hAnsi="Times New Roman" w:cs="Times New Roman"/>
          <w:i/>
          <w:sz w:val="22"/>
          <w:szCs w:val="22"/>
        </w:rPr>
        <w:t>sua sponte</w:t>
      </w:r>
      <w:r>
        <w:rPr>
          <w:rFonts w:ascii="Times New Roman" w:hAnsi="Times New Roman" w:cs="Times New Roman"/>
          <w:sz w:val="22"/>
          <w:szCs w:val="22"/>
        </w:rPr>
        <w:t xml:space="preserve"> </w:t>
      </w:r>
      <w:r w:rsidRPr="00953D41">
        <w:rPr>
          <w:rFonts w:ascii="Times New Roman" w:hAnsi="Times New Roman" w:cs="Times New Roman"/>
          <w:sz w:val="22"/>
          <w:szCs w:val="22"/>
        </w:rPr>
        <w:t xml:space="preserve">its </w:t>
      </w:r>
      <w:r>
        <w:rPr>
          <w:rFonts w:ascii="Times New Roman" w:hAnsi="Times New Roman" w:cs="Times New Roman"/>
          <w:sz w:val="22"/>
          <w:szCs w:val="22"/>
        </w:rPr>
        <w:t xml:space="preserve">desired content in </w:t>
      </w:r>
      <w:r w:rsidRPr="00953D41">
        <w:rPr>
          <w:rFonts w:ascii="Times New Roman" w:hAnsi="Times New Roman" w:cs="Times New Roman"/>
          <w:sz w:val="22"/>
          <w:szCs w:val="22"/>
        </w:rPr>
        <w:t>a feasibility study, which never before had been</w:t>
      </w:r>
      <w:r>
        <w:rPr>
          <w:rFonts w:ascii="Times New Roman" w:hAnsi="Times New Roman" w:cs="Times New Roman"/>
          <w:sz w:val="22"/>
          <w:szCs w:val="22"/>
        </w:rPr>
        <w:t xml:space="preserve"> suggested, and then concluding that these elevated and newly articulated requirements hadn’t been met.</w:t>
      </w:r>
    </w:p>
    <w:p w14:paraId="7B291088" w14:textId="77777777" w:rsidR="00FC046A" w:rsidRPr="006F712C" w:rsidRDefault="00FC046A">
      <w:pPr>
        <w:pStyle w:val="EndnoteText"/>
        <w:rPr>
          <w:rFonts w:ascii="Times New Roman" w:hAnsi="Times New Roman" w:cs="Times New Roman"/>
          <w:sz w:val="22"/>
          <w:szCs w:val="22"/>
        </w:rPr>
      </w:pPr>
    </w:p>
  </w:endnote>
  <w:endnote w:id="90">
    <w:p w14:paraId="2B2406BF" w14:textId="6A8F775B" w:rsidR="00FC046A" w:rsidRPr="00A50677" w:rsidRDefault="00FC046A" w:rsidP="00E53D9D">
      <w:pPr>
        <w:pStyle w:val="EndnoteText"/>
        <w:rPr>
          <w:rFonts w:ascii="Times New Roman" w:hAnsi="Times New Roman" w:cs="Times New Roman"/>
          <w:sz w:val="22"/>
          <w:szCs w:val="22"/>
        </w:rPr>
      </w:pPr>
      <w:r w:rsidRPr="006F712C">
        <w:rPr>
          <w:rStyle w:val="EndnoteReference"/>
          <w:rFonts w:ascii="Times New Roman" w:hAnsi="Times New Roman" w:cs="Times New Roman"/>
          <w:sz w:val="22"/>
          <w:szCs w:val="22"/>
        </w:rPr>
        <w:endnoteRef/>
      </w:r>
      <w:r w:rsidRPr="006F712C">
        <w:rPr>
          <w:rFonts w:ascii="Times New Roman" w:hAnsi="Times New Roman" w:cs="Times New Roman"/>
          <w:sz w:val="22"/>
          <w:szCs w:val="22"/>
        </w:rPr>
        <w:t xml:space="preserve"> </w:t>
      </w:r>
      <w:r w:rsidRPr="002B223B">
        <w:rPr>
          <w:rFonts w:ascii="Times New Roman" w:hAnsi="Times New Roman" w:cs="Times New Roman"/>
          <w:sz w:val="22"/>
          <w:szCs w:val="22"/>
        </w:rPr>
        <w:t>See Exhibit 1</w:t>
      </w:r>
      <w:r>
        <w:rPr>
          <w:rFonts w:ascii="Times New Roman" w:hAnsi="Times New Roman" w:cs="Times New Roman"/>
          <w:sz w:val="22"/>
          <w:szCs w:val="22"/>
        </w:rPr>
        <w:t>42-P</w:t>
      </w:r>
      <w:r w:rsidRPr="002B223B">
        <w:rPr>
          <w:rFonts w:ascii="Times New Roman" w:hAnsi="Times New Roman" w:cs="Times New Roman"/>
          <w:sz w:val="22"/>
          <w:szCs w:val="22"/>
        </w:rPr>
        <w:t xml:space="preserve"> (</w:t>
      </w:r>
      <w:r>
        <w:rPr>
          <w:rFonts w:ascii="Times New Roman" w:hAnsi="Times New Roman" w:cs="Times New Roman"/>
          <w:sz w:val="22"/>
          <w:szCs w:val="22"/>
        </w:rPr>
        <w:t>Article Published by Donald J. Riggin in February 2016 entitled “</w:t>
      </w:r>
      <w:r w:rsidRPr="002B223B">
        <w:rPr>
          <w:rFonts w:ascii="Times New Roman" w:hAnsi="Times New Roman" w:cs="Times New Roman"/>
          <w:sz w:val="22"/>
          <w:szCs w:val="22"/>
        </w:rPr>
        <w:t>Captive Feasibility Stud</w:t>
      </w:r>
      <w:r>
        <w:rPr>
          <w:rFonts w:ascii="Times New Roman" w:hAnsi="Times New Roman" w:cs="Times New Roman"/>
          <w:sz w:val="22"/>
          <w:szCs w:val="22"/>
        </w:rPr>
        <w:t>ies – Necessary?”), in which Mr. Riggin even states:  “</w:t>
      </w:r>
      <w:r w:rsidRPr="00985C6A">
        <w:rPr>
          <w:rFonts w:ascii="Times New Roman" w:hAnsi="Times New Roman" w:cs="Times New Roman"/>
          <w:sz w:val="22"/>
          <w:szCs w:val="22"/>
        </w:rPr>
        <w:t>The only constant is that the majority of captive domiciles require some sort of documentation</w:t>
      </w:r>
      <w:r>
        <w:rPr>
          <w:rFonts w:ascii="Times New Roman" w:hAnsi="Times New Roman" w:cs="Times New Roman"/>
          <w:sz w:val="22"/>
          <w:szCs w:val="22"/>
        </w:rPr>
        <w:t xml:space="preserve"> </w:t>
      </w:r>
      <w:r w:rsidRPr="00985C6A">
        <w:rPr>
          <w:rFonts w:ascii="Times New Roman" w:hAnsi="Times New Roman" w:cs="Times New Roman"/>
          <w:sz w:val="22"/>
          <w:szCs w:val="22"/>
        </w:rPr>
        <w:t xml:space="preserve">that suggests that the applicant has thought about </w:t>
      </w:r>
      <w:r w:rsidRPr="00A50677">
        <w:rPr>
          <w:rFonts w:ascii="Times New Roman" w:hAnsi="Times New Roman" w:cs="Times New Roman"/>
          <w:sz w:val="22"/>
          <w:szCs w:val="22"/>
        </w:rPr>
        <w:t>this and has a reasonably good reason to form a captive.”  Mr. Riggin then described in this article what he viewed to be the “three types of captive feasibility studies: comprehensive, close-to-comprehensive (financial-only), and self-serving (nonfeasibility).”   Mr. Riggin</w:t>
      </w:r>
      <w:r>
        <w:rPr>
          <w:rFonts w:ascii="Times New Roman" w:hAnsi="Times New Roman" w:cs="Times New Roman"/>
          <w:sz w:val="22"/>
          <w:szCs w:val="22"/>
        </w:rPr>
        <w:t xml:space="preserve"> acknowledged in the article that a feasibility study is not required to form a captive.</w:t>
      </w:r>
    </w:p>
    <w:p w14:paraId="0E8B12F6" w14:textId="77777777" w:rsidR="00FC046A" w:rsidRPr="00A50677" w:rsidRDefault="00FC046A">
      <w:pPr>
        <w:pStyle w:val="EndnoteText"/>
        <w:rPr>
          <w:rFonts w:ascii="Times New Roman" w:hAnsi="Times New Roman" w:cs="Times New Roman"/>
          <w:sz w:val="22"/>
          <w:szCs w:val="22"/>
        </w:rPr>
      </w:pPr>
    </w:p>
  </w:endnote>
  <w:endnote w:id="91">
    <w:p w14:paraId="7AD3505D" w14:textId="0194010B" w:rsidR="00FC046A" w:rsidRPr="00A9366E" w:rsidRDefault="00FC046A" w:rsidP="00A96232">
      <w:pPr>
        <w:pStyle w:val="EndnoteText"/>
        <w:rPr>
          <w:rFonts w:ascii="Times New Roman" w:hAnsi="Times New Roman" w:cs="Times New Roman"/>
          <w:sz w:val="22"/>
          <w:szCs w:val="22"/>
        </w:rPr>
      </w:pPr>
      <w:r w:rsidRPr="00A9366E">
        <w:rPr>
          <w:rStyle w:val="EndnoteReference"/>
          <w:rFonts w:ascii="Times New Roman" w:hAnsi="Times New Roman" w:cs="Times New Roman"/>
          <w:sz w:val="22"/>
          <w:szCs w:val="22"/>
        </w:rPr>
        <w:endnoteRef/>
      </w:r>
      <w:r w:rsidRPr="00A9366E">
        <w:rPr>
          <w:rFonts w:ascii="Times New Roman" w:hAnsi="Times New Roman" w:cs="Times New Roman"/>
          <w:sz w:val="22"/>
          <w:szCs w:val="22"/>
        </w:rPr>
        <w:t xml:space="preserve"> </w:t>
      </w:r>
      <w:r>
        <w:rPr>
          <w:rFonts w:ascii="Times New Roman" w:hAnsi="Times New Roman" w:cs="Times New Roman"/>
          <w:sz w:val="22"/>
          <w:szCs w:val="22"/>
        </w:rPr>
        <w:t>For example, see Opinion at 59, where the Court expressed its view without citation as to precedent that a necessary requirement for a feasibility study is to provide information on “the probability of a loss event.”  The Court continued: “</w:t>
      </w:r>
      <w:r w:rsidRPr="00A96232">
        <w:rPr>
          <w:rFonts w:ascii="Times New Roman" w:hAnsi="Times New Roman" w:cs="Times New Roman"/>
          <w:sz w:val="22"/>
          <w:szCs w:val="22"/>
        </w:rPr>
        <w:t>The feasibility study</w:t>
      </w:r>
      <w:r>
        <w:rPr>
          <w:rFonts w:ascii="Times New Roman" w:hAnsi="Times New Roman" w:cs="Times New Roman"/>
          <w:sz w:val="22"/>
          <w:szCs w:val="22"/>
        </w:rPr>
        <w:t xml:space="preserve"> </w:t>
      </w:r>
      <w:r w:rsidRPr="00A96232">
        <w:rPr>
          <w:rFonts w:ascii="Times New Roman" w:hAnsi="Times New Roman" w:cs="Times New Roman"/>
          <w:sz w:val="22"/>
          <w:szCs w:val="22"/>
        </w:rPr>
        <w:t xml:space="preserve">provided no information on the </w:t>
      </w:r>
      <w:r w:rsidRPr="00D14C68">
        <w:rPr>
          <w:rFonts w:ascii="Times New Roman" w:hAnsi="Times New Roman" w:cs="Times New Roman"/>
          <w:sz w:val="22"/>
          <w:szCs w:val="22"/>
        </w:rPr>
        <w:t>probability of a loss event that the direct written policies covered.  It also did not explain in detail how the direct written policies (which as noted above had not been decided upon as of the date of the feasibility study) would</w:t>
      </w:r>
      <w:r w:rsidRPr="00A96232">
        <w:rPr>
          <w:rFonts w:ascii="Times New Roman" w:hAnsi="Times New Roman" w:cs="Times New Roman"/>
          <w:sz w:val="22"/>
          <w:szCs w:val="22"/>
        </w:rPr>
        <w:t xml:space="preserve"> supplement Peak</w:t>
      </w:r>
      <w:r>
        <w:rPr>
          <w:rFonts w:ascii="Times New Roman" w:hAnsi="Times New Roman" w:cs="Times New Roman"/>
          <w:sz w:val="22"/>
          <w:szCs w:val="22"/>
        </w:rPr>
        <w:t>’</w:t>
      </w:r>
      <w:r w:rsidRPr="00A96232">
        <w:rPr>
          <w:rFonts w:ascii="Times New Roman" w:hAnsi="Times New Roman" w:cs="Times New Roman"/>
          <w:sz w:val="22"/>
          <w:szCs w:val="22"/>
        </w:rPr>
        <w:t>s existing insurance.</w:t>
      </w:r>
      <w:r>
        <w:rPr>
          <w:rFonts w:ascii="Times New Roman" w:hAnsi="Times New Roman" w:cs="Times New Roman"/>
          <w:sz w:val="22"/>
          <w:szCs w:val="22"/>
        </w:rPr>
        <w:t>”  But s</w:t>
      </w:r>
      <w:r w:rsidRPr="00BB5BFA">
        <w:rPr>
          <w:rFonts w:ascii="Times New Roman" w:hAnsi="Times New Roman" w:cs="Times New Roman"/>
          <w:sz w:val="22"/>
          <w:szCs w:val="22"/>
        </w:rPr>
        <w:t xml:space="preserve">ee Exhibit 16-J (Captive Insurance Feasibility Study for Peak Mechanical &amp; Components, Inc., Initial Site Visit: August 13, 2008), pages </w:t>
      </w:r>
      <w:r>
        <w:rPr>
          <w:rFonts w:ascii="Times New Roman" w:hAnsi="Times New Roman" w:cs="Times New Roman"/>
          <w:sz w:val="22"/>
          <w:szCs w:val="22"/>
        </w:rPr>
        <w:t>19</w:t>
      </w:r>
      <w:r w:rsidRPr="00BB5BFA">
        <w:rPr>
          <w:rFonts w:ascii="Times New Roman" w:hAnsi="Times New Roman" w:cs="Times New Roman"/>
          <w:sz w:val="22"/>
          <w:szCs w:val="22"/>
        </w:rPr>
        <w:t>-</w:t>
      </w:r>
      <w:r>
        <w:rPr>
          <w:rFonts w:ascii="Times New Roman" w:hAnsi="Times New Roman" w:cs="Times New Roman"/>
          <w:sz w:val="22"/>
          <w:szCs w:val="22"/>
        </w:rPr>
        <w:t>21, which proposes a range of 13 additional, relevant coverages for the Peak insureds.  The Court provided no support for its newly manufactured standards for a feasibility study requiring loss projections, which has never been held to be a tax requirement for forming an insurer.  The government’s own expert never even suggested such.</w:t>
      </w:r>
    </w:p>
    <w:p w14:paraId="257A670C" w14:textId="77777777" w:rsidR="00FC046A" w:rsidRPr="00A9366E" w:rsidRDefault="00FC046A">
      <w:pPr>
        <w:pStyle w:val="EndnoteText"/>
        <w:rPr>
          <w:rFonts w:ascii="Times New Roman" w:hAnsi="Times New Roman" w:cs="Times New Roman"/>
          <w:sz w:val="22"/>
          <w:szCs w:val="22"/>
        </w:rPr>
      </w:pPr>
    </w:p>
  </w:endnote>
  <w:endnote w:id="92">
    <w:p w14:paraId="716C326E" w14:textId="0579F9C1" w:rsidR="00FC046A" w:rsidRDefault="00FC046A">
      <w:pPr>
        <w:pStyle w:val="EndnoteText"/>
        <w:rPr>
          <w:rFonts w:ascii="Times New Roman" w:hAnsi="Times New Roman" w:cs="Times New Roman"/>
          <w:sz w:val="22"/>
          <w:szCs w:val="22"/>
        </w:rPr>
      </w:pPr>
      <w:r w:rsidRPr="00DD6AAF">
        <w:rPr>
          <w:rStyle w:val="EndnoteReference"/>
          <w:rFonts w:ascii="Times New Roman" w:hAnsi="Times New Roman" w:cs="Times New Roman"/>
          <w:sz w:val="22"/>
          <w:szCs w:val="22"/>
        </w:rPr>
        <w:endnoteRef/>
      </w:r>
      <w:r w:rsidRPr="00DD6AAF">
        <w:rPr>
          <w:rFonts w:ascii="Times New Roman" w:hAnsi="Times New Roman" w:cs="Times New Roman"/>
          <w:sz w:val="22"/>
          <w:szCs w:val="22"/>
        </w:rPr>
        <w:t xml:space="preserve"> </w:t>
      </w:r>
      <w:r>
        <w:rPr>
          <w:rFonts w:ascii="Times New Roman" w:hAnsi="Times New Roman" w:cs="Times New Roman"/>
          <w:sz w:val="22"/>
          <w:szCs w:val="22"/>
        </w:rPr>
        <w:t>See Exhibit 16-J (Captive Insurance Feasibility Study for Peak Mechanical &amp; Components, Inc., Initial Site Visit: August 13, 2008), pages 24-34.</w:t>
      </w:r>
    </w:p>
    <w:p w14:paraId="5ED79E12" w14:textId="77777777" w:rsidR="00FC046A" w:rsidRPr="00DD6AAF" w:rsidRDefault="00FC046A">
      <w:pPr>
        <w:pStyle w:val="EndnoteText"/>
        <w:rPr>
          <w:rFonts w:ascii="Times New Roman" w:hAnsi="Times New Roman" w:cs="Times New Roman"/>
          <w:sz w:val="22"/>
          <w:szCs w:val="22"/>
        </w:rPr>
      </w:pPr>
    </w:p>
  </w:endnote>
  <w:endnote w:id="93">
    <w:p w14:paraId="103177DD" w14:textId="79CE135B" w:rsidR="00FC046A" w:rsidRDefault="00FC046A" w:rsidP="00D06279">
      <w:pPr>
        <w:pStyle w:val="EndnoteText"/>
        <w:rPr>
          <w:rFonts w:ascii="Times New Roman" w:hAnsi="Times New Roman" w:cs="Times New Roman"/>
          <w:sz w:val="22"/>
          <w:szCs w:val="22"/>
        </w:rPr>
      </w:pPr>
      <w:r w:rsidRPr="0037335C">
        <w:rPr>
          <w:rStyle w:val="EndnoteReference"/>
          <w:rFonts w:ascii="Times New Roman" w:hAnsi="Times New Roman" w:cs="Times New Roman"/>
          <w:sz w:val="22"/>
          <w:szCs w:val="22"/>
        </w:rPr>
        <w:endnoteRef/>
      </w:r>
      <w:r w:rsidRPr="0037335C">
        <w:rPr>
          <w:rFonts w:ascii="Times New Roman" w:hAnsi="Times New Roman" w:cs="Times New Roman"/>
          <w:sz w:val="22"/>
          <w:szCs w:val="22"/>
        </w:rPr>
        <w:t xml:space="preserve"> </w:t>
      </w:r>
      <w:r>
        <w:rPr>
          <w:rFonts w:ascii="Times New Roman" w:hAnsi="Times New Roman" w:cs="Times New Roman"/>
          <w:sz w:val="22"/>
          <w:szCs w:val="22"/>
        </w:rPr>
        <w:t>In</w:t>
      </w:r>
      <w:r w:rsidRPr="00D76D7B">
        <w:rPr>
          <w:rFonts w:ascii="Times New Roman" w:hAnsi="Times New Roman" w:cs="Times New Roman"/>
          <w:sz w:val="22"/>
          <w:szCs w:val="22"/>
        </w:rPr>
        <w:t xml:space="preserve"> </w:t>
      </w:r>
      <w:r>
        <w:rPr>
          <w:rFonts w:ascii="Times New Roman" w:hAnsi="Times New Roman" w:cs="Times New Roman"/>
          <w:sz w:val="22"/>
          <w:szCs w:val="22"/>
        </w:rPr>
        <w:t xml:space="preserve">the Opinion at </w:t>
      </w:r>
      <w:r w:rsidRPr="00D76D7B">
        <w:rPr>
          <w:rFonts w:ascii="Times New Roman" w:hAnsi="Times New Roman" w:cs="Times New Roman"/>
          <w:sz w:val="22"/>
          <w:szCs w:val="22"/>
        </w:rPr>
        <w:t>12</w:t>
      </w:r>
      <w:r>
        <w:rPr>
          <w:rFonts w:ascii="Times New Roman" w:hAnsi="Times New Roman" w:cs="Times New Roman"/>
          <w:sz w:val="22"/>
          <w:szCs w:val="22"/>
        </w:rPr>
        <w:t xml:space="preserve">-13, </w:t>
      </w:r>
      <w:r w:rsidRPr="00D76D7B">
        <w:rPr>
          <w:rFonts w:ascii="Times New Roman" w:hAnsi="Times New Roman" w:cs="Times New Roman"/>
          <w:sz w:val="22"/>
          <w:szCs w:val="22"/>
        </w:rPr>
        <w:t xml:space="preserve">the </w:t>
      </w:r>
      <w:r>
        <w:rPr>
          <w:rFonts w:ascii="Times New Roman" w:hAnsi="Times New Roman" w:cs="Times New Roman"/>
          <w:sz w:val="22"/>
          <w:szCs w:val="22"/>
        </w:rPr>
        <w:t>C</w:t>
      </w:r>
      <w:r w:rsidRPr="00D76D7B">
        <w:rPr>
          <w:rFonts w:ascii="Times New Roman" w:hAnsi="Times New Roman" w:cs="Times New Roman"/>
          <w:sz w:val="22"/>
          <w:szCs w:val="22"/>
        </w:rPr>
        <w:t>ourt stated that</w:t>
      </w:r>
      <w:r>
        <w:rPr>
          <w:rFonts w:ascii="Times New Roman" w:hAnsi="Times New Roman" w:cs="Times New Roman"/>
          <w:sz w:val="22"/>
          <w:szCs w:val="22"/>
        </w:rPr>
        <w:t xml:space="preserve"> “</w:t>
      </w:r>
      <w:r w:rsidRPr="00B1254F">
        <w:rPr>
          <w:rFonts w:ascii="Times New Roman" w:hAnsi="Times New Roman" w:cs="Times New Roman"/>
          <w:sz w:val="22"/>
          <w:szCs w:val="22"/>
        </w:rPr>
        <w:t>Robert Snyder signed the</w:t>
      </w:r>
      <w:r>
        <w:rPr>
          <w:rFonts w:ascii="Times New Roman" w:hAnsi="Times New Roman" w:cs="Times New Roman"/>
          <w:sz w:val="22"/>
          <w:szCs w:val="22"/>
        </w:rPr>
        <w:t xml:space="preserve"> </w:t>
      </w:r>
      <w:r w:rsidRPr="00B1254F">
        <w:rPr>
          <w:rFonts w:ascii="Times New Roman" w:hAnsi="Times New Roman" w:cs="Times New Roman"/>
          <w:sz w:val="22"/>
          <w:szCs w:val="22"/>
        </w:rPr>
        <w:t xml:space="preserve">study as senior vice president of Willis. </w:t>
      </w:r>
      <w:r>
        <w:rPr>
          <w:rFonts w:ascii="Times New Roman" w:hAnsi="Times New Roman" w:cs="Times New Roman"/>
          <w:sz w:val="22"/>
          <w:szCs w:val="22"/>
        </w:rPr>
        <w:t xml:space="preserve"> [Lance] </w:t>
      </w:r>
      <w:r w:rsidRPr="00B1254F">
        <w:rPr>
          <w:rFonts w:ascii="Times New Roman" w:hAnsi="Times New Roman" w:cs="Times New Roman"/>
          <w:sz w:val="22"/>
          <w:szCs w:val="22"/>
        </w:rPr>
        <w:t>McNeel was principal author of the study,</w:t>
      </w:r>
      <w:r>
        <w:rPr>
          <w:rFonts w:ascii="Times New Roman" w:hAnsi="Times New Roman" w:cs="Times New Roman"/>
          <w:sz w:val="22"/>
          <w:szCs w:val="22"/>
        </w:rPr>
        <w:t xml:space="preserve"> </w:t>
      </w:r>
      <w:r w:rsidRPr="00403ECD">
        <w:rPr>
          <w:rFonts w:ascii="Times New Roman" w:hAnsi="Times New Roman" w:cs="Times New Roman"/>
          <w:sz w:val="22"/>
          <w:szCs w:val="22"/>
        </w:rPr>
        <w:t>and Snyder's role was to review it. Snyder did not perform any independent</w:t>
      </w:r>
      <w:r>
        <w:rPr>
          <w:rFonts w:ascii="Times New Roman" w:hAnsi="Times New Roman" w:cs="Times New Roman"/>
          <w:sz w:val="22"/>
          <w:szCs w:val="22"/>
        </w:rPr>
        <w:t xml:space="preserve"> </w:t>
      </w:r>
      <w:r w:rsidRPr="00403ECD">
        <w:rPr>
          <w:rFonts w:ascii="Times New Roman" w:hAnsi="Times New Roman" w:cs="Times New Roman"/>
          <w:sz w:val="22"/>
          <w:szCs w:val="22"/>
        </w:rPr>
        <w:t>investigation of Peak</w:t>
      </w:r>
      <w:r>
        <w:rPr>
          <w:rFonts w:ascii="Times New Roman" w:hAnsi="Times New Roman" w:cs="Times New Roman"/>
          <w:sz w:val="22"/>
          <w:szCs w:val="22"/>
        </w:rPr>
        <w:t>’</w:t>
      </w:r>
      <w:r w:rsidRPr="00403ECD">
        <w:rPr>
          <w:rFonts w:ascii="Times New Roman" w:hAnsi="Times New Roman" w:cs="Times New Roman"/>
          <w:sz w:val="22"/>
          <w:szCs w:val="22"/>
        </w:rPr>
        <w:t>s business operations, and he based his review on the</w:t>
      </w:r>
      <w:r>
        <w:rPr>
          <w:rFonts w:ascii="Times New Roman" w:hAnsi="Times New Roman" w:cs="Times New Roman"/>
          <w:sz w:val="22"/>
          <w:szCs w:val="22"/>
        </w:rPr>
        <w:t xml:space="preserve"> </w:t>
      </w:r>
      <w:r w:rsidRPr="00403ECD">
        <w:rPr>
          <w:rFonts w:ascii="Times New Roman" w:hAnsi="Times New Roman" w:cs="Times New Roman"/>
          <w:sz w:val="22"/>
          <w:szCs w:val="22"/>
        </w:rPr>
        <w:t>background documents that Capstone compiled and an oral briefing from McNeel.</w:t>
      </w:r>
      <w:r>
        <w:rPr>
          <w:rFonts w:ascii="Times New Roman" w:hAnsi="Times New Roman" w:cs="Times New Roman"/>
          <w:sz w:val="22"/>
          <w:szCs w:val="22"/>
        </w:rPr>
        <w:t>”  Snyder found McNeel trustworthy and had worked with him for many years.  Snyder testified at trial that “</w:t>
      </w:r>
      <w:r w:rsidRPr="00795865">
        <w:rPr>
          <w:rFonts w:ascii="Times New Roman" w:hAnsi="Times New Roman" w:cs="Times New Roman"/>
          <w:sz w:val="22"/>
          <w:szCs w:val="22"/>
        </w:rPr>
        <w:t>Lance McNeel and I happened to be</w:t>
      </w:r>
      <w:r>
        <w:rPr>
          <w:rFonts w:ascii="Times New Roman" w:hAnsi="Times New Roman" w:cs="Times New Roman"/>
          <w:sz w:val="22"/>
          <w:szCs w:val="22"/>
        </w:rPr>
        <w:t xml:space="preserve"> </w:t>
      </w:r>
      <w:r w:rsidRPr="00795865">
        <w:rPr>
          <w:rFonts w:ascii="Times New Roman" w:hAnsi="Times New Roman" w:cs="Times New Roman"/>
          <w:sz w:val="22"/>
          <w:szCs w:val="22"/>
        </w:rPr>
        <w:t>colleagues, not in the same division but we worked</w:t>
      </w:r>
      <w:r>
        <w:rPr>
          <w:rFonts w:ascii="Times New Roman" w:hAnsi="Times New Roman" w:cs="Times New Roman"/>
          <w:sz w:val="22"/>
          <w:szCs w:val="22"/>
        </w:rPr>
        <w:t xml:space="preserve"> </w:t>
      </w:r>
      <w:r w:rsidRPr="00795865">
        <w:rPr>
          <w:rFonts w:ascii="Times New Roman" w:hAnsi="Times New Roman" w:cs="Times New Roman"/>
          <w:sz w:val="22"/>
          <w:szCs w:val="22"/>
        </w:rPr>
        <w:t>together for a number of years at Johnson &amp; Higgins,</w:t>
      </w:r>
      <w:r>
        <w:rPr>
          <w:rFonts w:ascii="Times New Roman" w:hAnsi="Times New Roman" w:cs="Times New Roman"/>
          <w:sz w:val="22"/>
          <w:szCs w:val="22"/>
        </w:rPr>
        <w:t xml:space="preserve"> </w:t>
      </w:r>
      <w:r w:rsidRPr="00795865">
        <w:rPr>
          <w:rFonts w:ascii="Times New Roman" w:hAnsi="Times New Roman" w:cs="Times New Roman"/>
          <w:sz w:val="22"/>
          <w:szCs w:val="22"/>
        </w:rPr>
        <w:t>the original firm where I started my career, and so</w:t>
      </w:r>
      <w:r>
        <w:rPr>
          <w:rFonts w:ascii="Times New Roman" w:hAnsi="Times New Roman" w:cs="Times New Roman"/>
          <w:sz w:val="22"/>
          <w:szCs w:val="22"/>
        </w:rPr>
        <w:t xml:space="preserve"> </w:t>
      </w:r>
      <w:r w:rsidRPr="00795865">
        <w:rPr>
          <w:rFonts w:ascii="Times New Roman" w:hAnsi="Times New Roman" w:cs="Times New Roman"/>
          <w:sz w:val="22"/>
          <w:szCs w:val="22"/>
        </w:rPr>
        <w:t>we knew each other i</w:t>
      </w:r>
      <w:r>
        <w:rPr>
          <w:rFonts w:ascii="Times New Roman" w:hAnsi="Times New Roman" w:cs="Times New Roman"/>
          <w:sz w:val="22"/>
          <w:szCs w:val="22"/>
        </w:rPr>
        <w:t xml:space="preserve">n </w:t>
      </w:r>
      <w:r w:rsidRPr="00795865">
        <w:rPr>
          <w:rFonts w:ascii="Times New Roman" w:hAnsi="Times New Roman" w:cs="Times New Roman"/>
          <w:sz w:val="22"/>
          <w:szCs w:val="22"/>
        </w:rPr>
        <w:t>passing and through company</w:t>
      </w:r>
      <w:r>
        <w:rPr>
          <w:rFonts w:ascii="Times New Roman" w:hAnsi="Times New Roman" w:cs="Times New Roman"/>
          <w:sz w:val="22"/>
          <w:szCs w:val="22"/>
        </w:rPr>
        <w:t xml:space="preserve"> </w:t>
      </w:r>
      <w:r w:rsidRPr="00795865">
        <w:rPr>
          <w:rFonts w:ascii="Times New Roman" w:hAnsi="Times New Roman" w:cs="Times New Roman"/>
          <w:sz w:val="22"/>
          <w:szCs w:val="22"/>
        </w:rPr>
        <w:t>functions and so forth.</w:t>
      </w:r>
      <w:r>
        <w:rPr>
          <w:rFonts w:ascii="Times New Roman" w:hAnsi="Times New Roman" w:cs="Times New Roman"/>
          <w:sz w:val="22"/>
          <w:szCs w:val="22"/>
        </w:rPr>
        <w:t>”  See testimony of Robert Snyder, Tr. at 27.  When asked to describe his role in the feasibility study and the work that he performed in conjunction with Mr. McNeel following Mr. McNeel’ s onsite visit to Peak’s Idaho facilities to “do the first line work on [Peak’s] feasibility study,” Mr. Snyder testified as follows: “[Mr. McNeel and I]</w:t>
      </w:r>
      <w:r w:rsidRPr="00107E20">
        <w:rPr>
          <w:rFonts w:ascii="Times New Roman" w:hAnsi="Times New Roman" w:cs="Times New Roman"/>
          <w:sz w:val="22"/>
          <w:szCs w:val="22"/>
        </w:rPr>
        <w:t xml:space="preserve"> would have</w:t>
      </w:r>
      <w:r>
        <w:rPr>
          <w:rFonts w:ascii="Times New Roman" w:hAnsi="Times New Roman" w:cs="Times New Roman"/>
          <w:sz w:val="22"/>
          <w:szCs w:val="22"/>
        </w:rPr>
        <w:t xml:space="preserve"> </w:t>
      </w:r>
      <w:r w:rsidRPr="00107E20">
        <w:rPr>
          <w:rFonts w:ascii="Times New Roman" w:hAnsi="Times New Roman" w:cs="Times New Roman"/>
          <w:sz w:val="22"/>
          <w:szCs w:val="22"/>
        </w:rPr>
        <w:t>discussed at a point in time all of the assembled</w:t>
      </w:r>
      <w:r>
        <w:rPr>
          <w:rFonts w:ascii="Times New Roman" w:hAnsi="Times New Roman" w:cs="Times New Roman"/>
          <w:sz w:val="22"/>
          <w:szCs w:val="22"/>
        </w:rPr>
        <w:t xml:space="preserve"> </w:t>
      </w:r>
      <w:r w:rsidRPr="00107E20">
        <w:rPr>
          <w:rFonts w:ascii="Times New Roman" w:hAnsi="Times New Roman" w:cs="Times New Roman"/>
          <w:sz w:val="22"/>
          <w:szCs w:val="22"/>
        </w:rPr>
        <w:t>material that was gathered. He would have given me a</w:t>
      </w:r>
      <w:r>
        <w:rPr>
          <w:rFonts w:ascii="Times New Roman" w:hAnsi="Times New Roman" w:cs="Times New Roman"/>
          <w:sz w:val="22"/>
          <w:szCs w:val="22"/>
        </w:rPr>
        <w:t xml:space="preserve"> </w:t>
      </w:r>
      <w:r w:rsidRPr="00107E20">
        <w:rPr>
          <w:rFonts w:ascii="Times New Roman" w:hAnsi="Times New Roman" w:cs="Times New Roman"/>
          <w:sz w:val="22"/>
          <w:szCs w:val="22"/>
        </w:rPr>
        <w:t>briefing, an oral briefing on what the company</w:t>
      </w:r>
      <w:r>
        <w:rPr>
          <w:rFonts w:ascii="Times New Roman" w:hAnsi="Times New Roman" w:cs="Times New Roman"/>
          <w:sz w:val="22"/>
          <w:szCs w:val="22"/>
        </w:rPr>
        <w:t>’</w:t>
      </w:r>
      <w:r w:rsidRPr="00107E20">
        <w:rPr>
          <w:rFonts w:ascii="Times New Roman" w:hAnsi="Times New Roman" w:cs="Times New Roman"/>
          <w:sz w:val="22"/>
          <w:szCs w:val="22"/>
        </w:rPr>
        <w:t>s</w:t>
      </w:r>
      <w:r>
        <w:rPr>
          <w:rFonts w:ascii="Times New Roman" w:hAnsi="Times New Roman" w:cs="Times New Roman"/>
          <w:sz w:val="22"/>
          <w:szCs w:val="22"/>
        </w:rPr>
        <w:t xml:space="preserve"> </w:t>
      </w:r>
      <w:r w:rsidRPr="00107E20">
        <w:rPr>
          <w:rFonts w:ascii="Times New Roman" w:hAnsi="Times New Roman" w:cs="Times New Roman"/>
          <w:sz w:val="22"/>
          <w:szCs w:val="22"/>
        </w:rPr>
        <w:t>business was about, who the owners were, what the</w:t>
      </w:r>
      <w:r>
        <w:rPr>
          <w:rFonts w:ascii="Times New Roman" w:hAnsi="Times New Roman" w:cs="Times New Roman"/>
          <w:sz w:val="22"/>
          <w:szCs w:val="22"/>
        </w:rPr>
        <w:t xml:space="preserve"> </w:t>
      </w:r>
      <w:r w:rsidRPr="00107E20">
        <w:rPr>
          <w:rFonts w:ascii="Times New Roman" w:hAnsi="Times New Roman" w:cs="Times New Roman"/>
          <w:sz w:val="22"/>
          <w:szCs w:val="22"/>
        </w:rPr>
        <w:t>scope of the operations were, general discussion</w:t>
      </w:r>
      <w:r>
        <w:rPr>
          <w:rFonts w:ascii="Times New Roman" w:hAnsi="Times New Roman" w:cs="Times New Roman"/>
          <w:sz w:val="22"/>
          <w:szCs w:val="22"/>
        </w:rPr>
        <w:t xml:space="preserve"> </w:t>
      </w:r>
      <w:r w:rsidRPr="00107E20">
        <w:rPr>
          <w:rFonts w:ascii="Times New Roman" w:hAnsi="Times New Roman" w:cs="Times New Roman"/>
          <w:sz w:val="22"/>
          <w:szCs w:val="22"/>
        </w:rPr>
        <w:t>about the business, and I would have had an</w:t>
      </w:r>
      <w:r>
        <w:rPr>
          <w:rFonts w:ascii="Times New Roman" w:hAnsi="Times New Roman" w:cs="Times New Roman"/>
          <w:sz w:val="22"/>
          <w:szCs w:val="22"/>
        </w:rPr>
        <w:t xml:space="preserve"> </w:t>
      </w:r>
      <w:r w:rsidRPr="00107E20">
        <w:rPr>
          <w:rFonts w:ascii="Times New Roman" w:hAnsi="Times New Roman" w:cs="Times New Roman"/>
          <w:sz w:val="22"/>
          <w:szCs w:val="22"/>
        </w:rPr>
        <w:t>opportunity to ask him questions to get a finer</w:t>
      </w:r>
      <w:r>
        <w:rPr>
          <w:rFonts w:ascii="Times New Roman" w:hAnsi="Times New Roman" w:cs="Times New Roman"/>
          <w:sz w:val="22"/>
          <w:szCs w:val="22"/>
        </w:rPr>
        <w:t xml:space="preserve"> </w:t>
      </w:r>
      <w:r w:rsidRPr="00107E20">
        <w:rPr>
          <w:rFonts w:ascii="Times New Roman" w:hAnsi="Times New Roman" w:cs="Times New Roman"/>
          <w:sz w:val="22"/>
          <w:szCs w:val="22"/>
        </w:rPr>
        <w:t>understanding.</w:t>
      </w:r>
      <w:r>
        <w:rPr>
          <w:rFonts w:ascii="Times New Roman" w:hAnsi="Times New Roman" w:cs="Times New Roman"/>
          <w:sz w:val="22"/>
          <w:szCs w:val="22"/>
        </w:rPr>
        <w:t>”  See</w:t>
      </w:r>
      <w:r w:rsidRPr="007F6925">
        <w:t xml:space="preserve"> </w:t>
      </w:r>
      <w:r w:rsidRPr="007F6925">
        <w:rPr>
          <w:rFonts w:ascii="Times New Roman" w:hAnsi="Times New Roman" w:cs="Times New Roman"/>
          <w:sz w:val="22"/>
          <w:szCs w:val="22"/>
        </w:rPr>
        <w:t xml:space="preserve">testimony of </w:t>
      </w:r>
      <w:r>
        <w:rPr>
          <w:rFonts w:ascii="Times New Roman" w:hAnsi="Times New Roman" w:cs="Times New Roman"/>
          <w:sz w:val="22"/>
          <w:szCs w:val="22"/>
        </w:rPr>
        <w:t>Robert</w:t>
      </w:r>
      <w:r w:rsidRPr="007F6925">
        <w:rPr>
          <w:rFonts w:ascii="Times New Roman" w:hAnsi="Times New Roman" w:cs="Times New Roman"/>
          <w:sz w:val="22"/>
          <w:szCs w:val="22"/>
        </w:rPr>
        <w:t xml:space="preserve"> Snyder, </w:t>
      </w:r>
      <w:r>
        <w:rPr>
          <w:rFonts w:ascii="Times New Roman" w:hAnsi="Times New Roman" w:cs="Times New Roman"/>
          <w:sz w:val="22"/>
          <w:szCs w:val="22"/>
        </w:rPr>
        <w:t>Tr.</w:t>
      </w:r>
      <w:r w:rsidRPr="007F6925">
        <w:rPr>
          <w:rFonts w:ascii="Times New Roman" w:hAnsi="Times New Roman" w:cs="Times New Roman"/>
          <w:sz w:val="22"/>
          <w:szCs w:val="22"/>
        </w:rPr>
        <w:t xml:space="preserve"> at </w:t>
      </w:r>
      <w:r>
        <w:rPr>
          <w:rFonts w:ascii="Times New Roman" w:hAnsi="Times New Roman" w:cs="Times New Roman"/>
          <w:sz w:val="22"/>
          <w:szCs w:val="22"/>
        </w:rPr>
        <w:t>58-59</w:t>
      </w:r>
      <w:r w:rsidRPr="007F6925">
        <w:rPr>
          <w:rFonts w:ascii="Times New Roman" w:hAnsi="Times New Roman" w:cs="Times New Roman"/>
          <w:sz w:val="22"/>
          <w:szCs w:val="22"/>
        </w:rPr>
        <w:t>.</w:t>
      </w:r>
      <w:r>
        <w:rPr>
          <w:rFonts w:ascii="Times New Roman" w:hAnsi="Times New Roman" w:cs="Times New Roman"/>
          <w:sz w:val="22"/>
          <w:szCs w:val="22"/>
        </w:rPr>
        <w:t xml:space="preserve">  </w:t>
      </w:r>
      <w:r w:rsidRPr="00207708">
        <w:rPr>
          <w:rFonts w:ascii="Times New Roman" w:hAnsi="Times New Roman" w:cs="Times New Roman"/>
          <w:b/>
          <w:sz w:val="22"/>
          <w:szCs w:val="22"/>
        </w:rPr>
        <w:t>Mr. Snyder further testified that, in signing off on Peak’s feasibility study on behalf of Willis, he was verifying that “[i]t would have been jointly our view that I was affirming that formation of a captive insurance company made business and financial sense for this particular client</w:t>
      </w:r>
      <w:r w:rsidRPr="00D06279">
        <w:rPr>
          <w:rFonts w:ascii="Times New Roman" w:hAnsi="Times New Roman" w:cs="Times New Roman"/>
          <w:sz w:val="22"/>
          <w:szCs w:val="22"/>
        </w:rPr>
        <w:t>.</w:t>
      </w:r>
      <w:r>
        <w:rPr>
          <w:rFonts w:ascii="Times New Roman" w:hAnsi="Times New Roman" w:cs="Times New Roman"/>
          <w:sz w:val="22"/>
          <w:szCs w:val="22"/>
        </w:rPr>
        <w:t xml:space="preserve">”  (Emphasis added).  </w:t>
      </w:r>
      <w:r w:rsidRPr="00A44E44">
        <w:rPr>
          <w:rFonts w:ascii="Times New Roman" w:hAnsi="Times New Roman" w:cs="Times New Roman"/>
          <w:sz w:val="22"/>
          <w:szCs w:val="22"/>
        </w:rPr>
        <w:t xml:space="preserve">See testimony of </w:t>
      </w:r>
      <w:r>
        <w:rPr>
          <w:rFonts w:ascii="Times New Roman" w:hAnsi="Times New Roman" w:cs="Times New Roman"/>
          <w:sz w:val="22"/>
          <w:szCs w:val="22"/>
        </w:rPr>
        <w:t>Robert</w:t>
      </w:r>
      <w:r w:rsidRPr="00A44E44">
        <w:rPr>
          <w:rFonts w:ascii="Times New Roman" w:hAnsi="Times New Roman" w:cs="Times New Roman"/>
          <w:sz w:val="22"/>
          <w:szCs w:val="22"/>
        </w:rPr>
        <w:t xml:space="preserve"> Snyder, </w:t>
      </w:r>
      <w:r>
        <w:rPr>
          <w:rFonts w:ascii="Times New Roman" w:hAnsi="Times New Roman" w:cs="Times New Roman"/>
          <w:sz w:val="22"/>
          <w:szCs w:val="22"/>
        </w:rPr>
        <w:t>Tr.</w:t>
      </w:r>
      <w:r w:rsidRPr="00A44E44">
        <w:rPr>
          <w:rFonts w:ascii="Times New Roman" w:hAnsi="Times New Roman" w:cs="Times New Roman"/>
          <w:sz w:val="22"/>
          <w:szCs w:val="22"/>
        </w:rPr>
        <w:t xml:space="preserve"> at 62.</w:t>
      </w:r>
      <w:r>
        <w:rPr>
          <w:rFonts w:ascii="Times New Roman" w:hAnsi="Times New Roman" w:cs="Times New Roman"/>
          <w:sz w:val="22"/>
          <w:szCs w:val="22"/>
        </w:rPr>
        <w:t xml:space="preserve">  </w:t>
      </w:r>
      <w:r w:rsidRPr="00A538C1">
        <w:rPr>
          <w:rFonts w:ascii="Times New Roman" w:hAnsi="Times New Roman" w:cs="Times New Roman"/>
          <w:sz w:val="22"/>
          <w:szCs w:val="22"/>
          <w:u w:val="single"/>
        </w:rPr>
        <w:t xml:space="preserve">Based on Mr. Snyder’s </w:t>
      </w:r>
      <w:r>
        <w:rPr>
          <w:rFonts w:ascii="Times New Roman" w:hAnsi="Times New Roman" w:cs="Times New Roman"/>
          <w:sz w:val="22"/>
          <w:szCs w:val="22"/>
          <w:u w:val="single"/>
        </w:rPr>
        <w:t xml:space="preserve">uncontroverted </w:t>
      </w:r>
      <w:r w:rsidRPr="00A538C1">
        <w:rPr>
          <w:rFonts w:ascii="Times New Roman" w:hAnsi="Times New Roman" w:cs="Times New Roman"/>
          <w:sz w:val="22"/>
          <w:szCs w:val="22"/>
          <w:u w:val="single"/>
        </w:rPr>
        <w:t>testimony</w:t>
      </w:r>
      <w:r>
        <w:rPr>
          <w:rFonts w:ascii="Times New Roman" w:hAnsi="Times New Roman" w:cs="Times New Roman"/>
          <w:sz w:val="22"/>
          <w:szCs w:val="22"/>
          <w:u w:val="single"/>
        </w:rPr>
        <w:t xml:space="preserve"> above</w:t>
      </w:r>
      <w:r w:rsidRPr="00A538C1">
        <w:rPr>
          <w:rFonts w:ascii="Times New Roman" w:hAnsi="Times New Roman" w:cs="Times New Roman"/>
          <w:sz w:val="22"/>
          <w:szCs w:val="22"/>
          <w:u w:val="single"/>
        </w:rPr>
        <w:t xml:space="preserve">, the Court had no basis for slighting the work that he performed in preparing and signing off on Peak’s feasibility study, which he </w:t>
      </w:r>
      <w:r>
        <w:rPr>
          <w:rFonts w:ascii="Times New Roman" w:hAnsi="Times New Roman" w:cs="Times New Roman"/>
          <w:sz w:val="22"/>
          <w:szCs w:val="22"/>
          <w:u w:val="single"/>
        </w:rPr>
        <w:t xml:space="preserve">still </w:t>
      </w:r>
      <w:r w:rsidRPr="00A538C1">
        <w:rPr>
          <w:rFonts w:ascii="Times New Roman" w:hAnsi="Times New Roman" w:cs="Times New Roman"/>
          <w:sz w:val="22"/>
          <w:szCs w:val="22"/>
          <w:u w:val="single"/>
        </w:rPr>
        <w:t>stood by almost ten years later</w:t>
      </w:r>
      <w:r>
        <w:rPr>
          <w:rFonts w:ascii="Times New Roman" w:hAnsi="Times New Roman" w:cs="Times New Roman"/>
          <w:sz w:val="22"/>
          <w:szCs w:val="22"/>
        </w:rPr>
        <w:t>.</w:t>
      </w:r>
    </w:p>
    <w:p w14:paraId="48773987" w14:textId="77777777" w:rsidR="00FC046A" w:rsidRPr="0037335C" w:rsidRDefault="00FC046A" w:rsidP="00581F9F">
      <w:pPr>
        <w:pStyle w:val="EndnoteText"/>
        <w:rPr>
          <w:rFonts w:ascii="Times New Roman" w:hAnsi="Times New Roman" w:cs="Times New Roman"/>
          <w:sz w:val="22"/>
          <w:szCs w:val="22"/>
        </w:rPr>
      </w:pPr>
    </w:p>
  </w:endnote>
  <w:endnote w:id="94">
    <w:p w14:paraId="20E6DE6A" w14:textId="6A5B303B" w:rsidR="00FC046A" w:rsidRDefault="00FC046A">
      <w:pPr>
        <w:pStyle w:val="EndnoteText"/>
        <w:rPr>
          <w:rFonts w:ascii="Times New Roman" w:hAnsi="Times New Roman" w:cs="Times New Roman"/>
          <w:sz w:val="22"/>
          <w:szCs w:val="22"/>
        </w:rPr>
      </w:pPr>
      <w:r w:rsidRPr="00DB285C">
        <w:rPr>
          <w:rStyle w:val="EndnoteReference"/>
          <w:rFonts w:ascii="Times New Roman" w:hAnsi="Times New Roman" w:cs="Times New Roman"/>
          <w:sz w:val="22"/>
          <w:szCs w:val="22"/>
        </w:rPr>
        <w:endnoteRef/>
      </w:r>
      <w:r w:rsidRPr="00DB285C">
        <w:rPr>
          <w:rFonts w:ascii="Times New Roman" w:hAnsi="Times New Roman" w:cs="Times New Roman"/>
          <w:sz w:val="22"/>
          <w:szCs w:val="22"/>
        </w:rPr>
        <w:t xml:space="preserve"> </w:t>
      </w:r>
      <w:r w:rsidRPr="00CD299B">
        <w:rPr>
          <w:rFonts w:ascii="Times New Roman" w:hAnsi="Times New Roman" w:cs="Times New Roman"/>
          <w:sz w:val="22"/>
          <w:szCs w:val="22"/>
        </w:rPr>
        <w:t xml:space="preserve">See testimony of </w:t>
      </w:r>
      <w:r>
        <w:rPr>
          <w:rFonts w:ascii="Times New Roman" w:hAnsi="Times New Roman" w:cs="Times New Roman"/>
          <w:sz w:val="22"/>
          <w:szCs w:val="22"/>
        </w:rPr>
        <w:t>Bob Snyder</w:t>
      </w:r>
      <w:r w:rsidRPr="00CD299B">
        <w:rPr>
          <w:rFonts w:ascii="Times New Roman" w:hAnsi="Times New Roman" w:cs="Times New Roman"/>
          <w:sz w:val="22"/>
          <w:szCs w:val="22"/>
        </w:rPr>
        <w:t xml:space="preserve">, </w:t>
      </w:r>
      <w:r>
        <w:rPr>
          <w:rFonts w:ascii="Times New Roman" w:hAnsi="Times New Roman" w:cs="Times New Roman"/>
          <w:sz w:val="22"/>
          <w:szCs w:val="22"/>
        </w:rPr>
        <w:t>Tr.</w:t>
      </w:r>
      <w:r w:rsidRPr="00CD299B">
        <w:rPr>
          <w:rFonts w:ascii="Times New Roman" w:hAnsi="Times New Roman" w:cs="Times New Roman"/>
          <w:sz w:val="22"/>
          <w:szCs w:val="22"/>
        </w:rPr>
        <w:t xml:space="preserve"> at </w:t>
      </w:r>
      <w:r>
        <w:rPr>
          <w:rFonts w:ascii="Times New Roman" w:hAnsi="Times New Roman" w:cs="Times New Roman"/>
          <w:sz w:val="22"/>
          <w:szCs w:val="22"/>
        </w:rPr>
        <w:t>25-26.</w:t>
      </w:r>
    </w:p>
    <w:p w14:paraId="53EF5156" w14:textId="77777777" w:rsidR="00FC046A" w:rsidRPr="009A46E8" w:rsidRDefault="00FC046A">
      <w:pPr>
        <w:pStyle w:val="EndnoteText"/>
        <w:rPr>
          <w:rFonts w:ascii="Times New Roman" w:hAnsi="Times New Roman" w:cs="Times New Roman"/>
          <w:sz w:val="22"/>
          <w:szCs w:val="22"/>
        </w:rPr>
      </w:pPr>
    </w:p>
  </w:endnote>
  <w:endnote w:id="95">
    <w:p w14:paraId="7AD5F581" w14:textId="290EE81C" w:rsidR="00FC046A" w:rsidRPr="009A46E8" w:rsidRDefault="00FC046A" w:rsidP="0091262C">
      <w:pPr>
        <w:pStyle w:val="EndnoteText"/>
        <w:rPr>
          <w:rFonts w:ascii="Times New Roman" w:hAnsi="Times New Roman" w:cs="Times New Roman"/>
          <w:sz w:val="22"/>
          <w:szCs w:val="22"/>
        </w:rPr>
      </w:pPr>
      <w:r w:rsidRPr="009A46E8">
        <w:rPr>
          <w:rStyle w:val="EndnoteReference"/>
          <w:rFonts w:ascii="Times New Roman" w:hAnsi="Times New Roman" w:cs="Times New Roman"/>
          <w:sz w:val="22"/>
          <w:szCs w:val="22"/>
        </w:rPr>
        <w:endnoteRef/>
      </w:r>
      <w:r w:rsidRPr="009A46E8">
        <w:rPr>
          <w:rFonts w:ascii="Times New Roman" w:hAnsi="Times New Roman" w:cs="Times New Roman"/>
          <w:sz w:val="22"/>
          <w:szCs w:val="22"/>
        </w:rPr>
        <w:t xml:space="preserve"> </w:t>
      </w:r>
      <w:r w:rsidRPr="00A1703A">
        <w:rPr>
          <w:rFonts w:ascii="Times New Roman" w:hAnsi="Times New Roman" w:cs="Times New Roman"/>
          <w:sz w:val="22"/>
          <w:szCs w:val="22"/>
        </w:rPr>
        <w:t xml:space="preserve">See </w:t>
      </w:r>
      <w:r>
        <w:rPr>
          <w:rFonts w:ascii="Times New Roman" w:hAnsi="Times New Roman" w:cs="Times New Roman"/>
          <w:sz w:val="22"/>
          <w:szCs w:val="22"/>
        </w:rPr>
        <w:t xml:space="preserve">Opinion at 12-13, </w:t>
      </w:r>
      <w:r w:rsidRPr="00A1703A">
        <w:rPr>
          <w:rFonts w:ascii="Times New Roman" w:hAnsi="Times New Roman" w:cs="Times New Roman"/>
          <w:sz w:val="22"/>
          <w:szCs w:val="22"/>
        </w:rPr>
        <w:t xml:space="preserve">where the Court </w:t>
      </w:r>
      <w:r>
        <w:rPr>
          <w:rFonts w:ascii="Times New Roman" w:hAnsi="Times New Roman" w:cs="Times New Roman"/>
          <w:sz w:val="22"/>
          <w:szCs w:val="22"/>
        </w:rPr>
        <w:t xml:space="preserve">wrongfully implied that Mr. Snyder’s role in the feasibility study was </w:t>
      </w:r>
      <w:r w:rsidRPr="00470189">
        <w:rPr>
          <w:rFonts w:ascii="Times New Roman" w:hAnsi="Times New Roman" w:cs="Times New Roman"/>
          <w:sz w:val="22"/>
          <w:szCs w:val="22"/>
        </w:rPr>
        <w:t>limited to a high-level review, which was not consistent with the testimony provided by Mr. Snyder at trial.  See note 92 supra, summarizing Mr. Snyder’s testimony, whereby he described in detail his specific role and his work performed prior</w:t>
      </w:r>
      <w:r>
        <w:rPr>
          <w:rFonts w:ascii="Times New Roman" w:hAnsi="Times New Roman" w:cs="Times New Roman"/>
          <w:sz w:val="22"/>
          <w:szCs w:val="22"/>
        </w:rPr>
        <w:t xml:space="preserve"> to</w:t>
      </w:r>
      <w:r w:rsidRPr="002A3194">
        <w:rPr>
          <w:rFonts w:ascii="Times New Roman" w:hAnsi="Times New Roman" w:cs="Times New Roman"/>
          <w:sz w:val="22"/>
          <w:szCs w:val="22"/>
        </w:rPr>
        <w:t xml:space="preserve"> signing off on Peak’s feasibility study</w:t>
      </w:r>
      <w:r>
        <w:rPr>
          <w:rFonts w:ascii="Times New Roman" w:hAnsi="Times New Roman" w:cs="Times New Roman"/>
          <w:sz w:val="22"/>
          <w:szCs w:val="22"/>
        </w:rPr>
        <w:t>.</w:t>
      </w:r>
    </w:p>
    <w:p w14:paraId="7B28AC5B" w14:textId="77777777" w:rsidR="00FC046A" w:rsidRPr="009A46E8" w:rsidRDefault="00FC046A">
      <w:pPr>
        <w:pStyle w:val="EndnoteText"/>
        <w:rPr>
          <w:rFonts w:ascii="Times New Roman" w:hAnsi="Times New Roman" w:cs="Times New Roman"/>
          <w:sz w:val="22"/>
          <w:szCs w:val="22"/>
        </w:rPr>
      </w:pPr>
    </w:p>
  </w:endnote>
  <w:endnote w:id="96">
    <w:p w14:paraId="0EC6DD5A" w14:textId="500B0574" w:rsidR="00FC046A" w:rsidRPr="00CA210F" w:rsidRDefault="00FC046A">
      <w:pPr>
        <w:pStyle w:val="EndnoteText"/>
        <w:rPr>
          <w:rFonts w:ascii="Times New Roman" w:hAnsi="Times New Roman" w:cs="Times New Roman"/>
          <w:sz w:val="22"/>
          <w:szCs w:val="22"/>
        </w:rPr>
      </w:pPr>
      <w:r w:rsidRPr="00CA210F">
        <w:rPr>
          <w:rStyle w:val="EndnoteReference"/>
          <w:rFonts w:ascii="Times New Roman" w:hAnsi="Times New Roman" w:cs="Times New Roman"/>
          <w:sz w:val="22"/>
          <w:szCs w:val="22"/>
        </w:rPr>
        <w:endnoteRef/>
      </w:r>
      <w:r w:rsidRPr="00CA210F">
        <w:rPr>
          <w:rFonts w:ascii="Times New Roman" w:hAnsi="Times New Roman" w:cs="Times New Roman"/>
          <w:sz w:val="22"/>
          <w:szCs w:val="22"/>
        </w:rPr>
        <w:t xml:space="preserve"> </w:t>
      </w:r>
      <w:r w:rsidRPr="00CC2E9F">
        <w:rPr>
          <w:rFonts w:ascii="Times New Roman" w:hAnsi="Times New Roman" w:cs="Times New Roman"/>
          <w:sz w:val="22"/>
          <w:szCs w:val="22"/>
        </w:rPr>
        <w:t>See Exhibit 16-J (Captive Insurance Feasibility Study for Peak Mechanical &amp; Components, Inc., Initial Site Visit: August 13, 2008)</w:t>
      </w:r>
      <w:r>
        <w:rPr>
          <w:rFonts w:ascii="Times New Roman" w:hAnsi="Times New Roman" w:cs="Times New Roman"/>
          <w:sz w:val="22"/>
          <w:szCs w:val="22"/>
        </w:rPr>
        <w:t>.  At both 3 and 52, the feasibility study contains the signature of Robert L. Snyder, signing on behalf of Willis as “Senior Vice President.”</w:t>
      </w:r>
    </w:p>
    <w:p w14:paraId="6A9C6B69" w14:textId="77777777" w:rsidR="00FC046A" w:rsidRPr="00CA210F" w:rsidRDefault="00FC046A">
      <w:pPr>
        <w:pStyle w:val="EndnoteText"/>
        <w:rPr>
          <w:rFonts w:ascii="Times New Roman" w:hAnsi="Times New Roman" w:cs="Times New Roman"/>
          <w:sz w:val="22"/>
          <w:szCs w:val="22"/>
        </w:rPr>
      </w:pPr>
    </w:p>
  </w:endnote>
  <w:endnote w:id="97">
    <w:p w14:paraId="71AC576A" w14:textId="51DD045D" w:rsidR="00FC046A" w:rsidRDefault="00FC046A" w:rsidP="00DF169C">
      <w:pPr>
        <w:pStyle w:val="EndnoteText"/>
        <w:rPr>
          <w:rFonts w:ascii="Times New Roman" w:hAnsi="Times New Roman" w:cs="Times New Roman"/>
          <w:sz w:val="22"/>
          <w:szCs w:val="22"/>
        </w:rPr>
      </w:pPr>
      <w:r>
        <w:rPr>
          <w:rStyle w:val="EndnoteReference"/>
        </w:rPr>
        <w:endnoteRef/>
      </w:r>
      <w:r>
        <w:t xml:space="preserve"> </w:t>
      </w:r>
      <w:r w:rsidRPr="00CD299B">
        <w:rPr>
          <w:rFonts w:ascii="Times New Roman" w:hAnsi="Times New Roman" w:cs="Times New Roman"/>
          <w:sz w:val="22"/>
          <w:szCs w:val="22"/>
        </w:rPr>
        <w:t xml:space="preserve">See testimony of </w:t>
      </w:r>
      <w:r>
        <w:rPr>
          <w:rFonts w:ascii="Times New Roman" w:hAnsi="Times New Roman" w:cs="Times New Roman"/>
          <w:sz w:val="22"/>
          <w:szCs w:val="22"/>
        </w:rPr>
        <w:t>Bob Snyder</w:t>
      </w:r>
      <w:r w:rsidRPr="00CD299B">
        <w:rPr>
          <w:rFonts w:ascii="Times New Roman" w:hAnsi="Times New Roman" w:cs="Times New Roman"/>
          <w:sz w:val="22"/>
          <w:szCs w:val="22"/>
        </w:rPr>
        <w:t xml:space="preserve">, </w:t>
      </w:r>
      <w:r>
        <w:rPr>
          <w:rFonts w:ascii="Times New Roman" w:hAnsi="Times New Roman" w:cs="Times New Roman"/>
          <w:sz w:val="22"/>
          <w:szCs w:val="22"/>
        </w:rPr>
        <w:t>Tr.</w:t>
      </w:r>
      <w:r w:rsidRPr="00CD299B">
        <w:rPr>
          <w:rFonts w:ascii="Times New Roman" w:hAnsi="Times New Roman" w:cs="Times New Roman"/>
          <w:sz w:val="22"/>
          <w:szCs w:val="22"/>
        </w:rPr>
        <w:t xml:space="preserve"> at </w:t>
      </w:r>
      <w:r>
        <w:rPr>
          <w:rFonts w:ascii="Times New Roman" w:hAnsi="Times New Roman" w:cs="Times New Roman"/>
          <w:sz w:val="22"/>
          <w:szCs w:val="22"/>
        </w:rPr>
        <w:t>25-28.</w:t>
      </w:r>
    </w:p>
    <w:p w14:paraId="01E7D3FE" w14:textId="18387AD9" w:rsidR="00FC046A" w:rsidRDefault="00FC046A">
      <w:pPr>
        <w:pStyle w:val="EndnoteText"/>
      </w:pPr>
    </w:p>
  </w:endnote>
  <w:endnote w:id="98">
    <w:p w14:paraId="1F103F5D" w14:textId="77777777" w:rsidR="00FC046A" w:rsidRDefault="00FC046A">
      <w:pPr>
        <w:pStyle w:val="EndnoteText"/>
        <w:rPr>
          <w:rFonts w:ascii="Times New Roman" w:hAnsi="Times New Roman" w:cs="Times New Roman"/>
          <w:sz w:val="22"/>
          <w:szCs w:val="22"/>
        </w:rPr>
      </w:pPr>
      <w:r w:rsidRPr="000257B4">
        <w:rPr>
          <w:rStyle w:val="EndnoteReference"/>
          <w:rFonts w:ascii="Times New Roman" w:hAnsi="Times New Roman" w:cs="Times New Roman"/>
          <w:sz w:val="22"/>
          <w:szCs w:val="22"/>
        </w:rPr>
        <w:endnoteRef/>
      </w:r>
      <w:r w:rsidRPr="000257B4">
        <w:rPr>
          <w:rFonts w:ascii="Times New Roman" w:hAnsi="Times New Roman" w:cs="Times New Roman"/>
          <w:sz w:val="22"/>
          <w:szCs w:val="22"/>
        </w:rPr>
        <w:t xml:space="preserve"> </w:t>
      </w:r>
      <w:r>
        <w:rPr>
          <w:rFonts w:ascii="Times New Roman" w:hAnsi="Times New Roman" w:cs="Times New Roman"/>
          <w:sz w:val="22"/>
          <w:szCs w:val="22"/>
        </w:rPr>
        <w:t>T</w:t>
      </w:r>
      <w:r w:rsidRPr="000257B4">
        <w:rPr>
          <w:rFonts w:ascii="Times New Roman" w:hAnsi="Times New Roman" w:cs="Times New Roman"/>
          <w:sz w:val="22"/>
          <w:szCs w:val="22"/>
        </w:rPr>
        <w:t xml:space="preserve">he process followed </w:t>
      </w:r>
      <w:r>
        <w:rPr>
          <w:rFonts w:ascii="Times New Roman" w:hAnsi="Times New Roman" w:cs="Times New Roman"/>
          <w:sz w:val="22"/>
          <w:szCs w:val="22"/>
        </w:rPr>
        <w:t xml:space="preserve">in issuing the feasibility study </w:t>
      </w:r>
      <w:r w:rsidRPr="000257B4">
        <w:rPr>
          <w:rFonts w:ascii="Times New Roman" w:hAnsi="Times New Roman" w:cs="Times New Roman"/>
          <w:sz w:val="22"/>
          <w:szCs w:val="22"/>
        </w:rPr>
        <w:t xml:space="preserve">was </w:t>
      </w:r>
      <w:r>
        <w:rPr>
          <w:rFonts w:ascii="Times New Roman" w:hAnsi="Times New Roman" w:cs="Times New Roman"/>
          <w:sz w:val="22"/>
          <w:szCs w:val="22"/>
        </w:rPr>
        <w:t>similar to</w:t>
      </w:r>
      <w:r w:rsidRPr="000257B4">
        <w:rPr>
          <w:rFonts w:ascii="Times New Roman" w:hAnsi="Times New Roman" w:cs="Times New Roman"/>
          <w:sz w:val="22"/>
          <w:szCs w:val="22"/>
        </w:rPr>
        <w:t xml:space="preserve"> a </w:t>
      </w:r>
      <w:r>
        <w:rPr>
          <w:rFonts w:ascii="Times New Roman" w:hAnsi="Times New Roman" w:cs="Times New Roman"/>
          <w:sz w:val="22"/>
          <w:szCs w:val="22"/>
        </w:rPr>
        <w:t>C</w:t>
      </w:r>
      <w:r w:rsidRPr="000257B4">
        <w:rPr>
          <w:rFonts w:ascii="Times New Roman" w:hAnsi="Times New Roman" w:cs="Times New Roman"/>
          <w:sz w:val="22"/>
          <w:szCs w:val="22"/>
        </w:rPr>
        <w:t>ourt</w:t>
      </w:r>
      <w:r>
        <w:rPr>
          <w:rFonts w:ascii="Times New Roman" w:hAnsi="Times New Roman" w:cs="Times New Roman"/>
          <w:sz w:val="22"/>
          <w:szCs w:val="22"/>
        </w:rPr>
        <w:t xml:space="preserve"> </w:t>
      </w:r>
      <w:r w:rsidRPr="000257B4">
        <w:rPr>
          <w:rFonts w:ascii="Times New Roman" w:hAnsi="Times New Roman" w:cs="Times New Roman"/>
          <w:sz w:val="22"/>
          <w:szCs w:val="22"/>
        </w:rPr>
        <w:t xml:space="preserve">having its clerks prepare legal memorandum or drafts of opinions for review and further analysis by </w:t>
      </w:r>
      <w:r>
        <w:rPr>
          <w:rFonts w:ascii="Times New Roman" w:hAnsi="Times New Roman" w:cs="Times New Roman"/>
          <w:sz w:val="22"/>
          <w:szCs w:val="22"/>
        </w:rPr>
        <w:t>the</w:t>
      </w:r>
      <w:r w:rsidRPr="000257B4">
        <w:rPr>
          <w:rFonts w:ascii="Times New Roman" w:hAnsi="Times New Roman" w:cs="Times New Roman"/>
          <w:sz w:val="22"/>
          <w:szCs w:val="22"/>
        </w:rPr>
        <w:t xml:space="preserve"> </w:t>
      </w:r>
      <w:r>
        <w:rPr>
          <w:rFonts w:ascii="Times New Roman" w:hAnsi="Times New Roman" w:cs="Times New Roman"/>
          <w:sz w:val="22"/>
          <w:szCs w:val="22"/>
        </w:rPr>
        <w:t>C</w:t>
      </w:r>
      <w:r w:rsidRPr="000257B4">
        <w:rPr>
          <w:rFonts w:ascii="Times New Roman" w:hAnsi="Times New Roman" w:cs="Times New Roman"/>
          <w:sz w:val="22"/>
          <w:szCs w:val="22"/>
        </w:rPr>
        <w:t>ourt.  The final product b</w:t>
      </w:r>
      <w:r>
        <w:rPr>
          <w:rFonts w:ascii="Times New Roman" w:hAnsi="Times New Roman" w:cs="Times New Roman"/>
          <w:sz w:val="22"/>
          <w:szCs w:val="22"/>
        </w:rPr>
        <w:t>ore</w:t>
      </w:r>
      <w:r w:rsidRPr="000257B4">
        <w:rPr>
          <w:rFonts w:ascii="Times New Roman" w:hAnsi="Times New Roman" w:cs="Times New Roman"/>
          <w:sz w:val="22"/>
          <w:szCs w:val="22"/>
        </w:rPr>
        <w:t xml:space="preserve"> the</w:t>
      </w:r>
      <w:r>
        <w:rPr>
          <w:rFonts w:ascii="Times New Roman" w:hAnsi="Times New Roman" w:cs="Times New Roman"/>
          <w:sz w:val="22"/>
          <w:szCs w:val="22"/>
        </w:rPr>
        <w:t xml:space="preserve"> names </w:t>
      </w:r>
      <w:r w:rsidRPr="000257B4">
        <w:rPr>
          <w:rFonts w:ascii="Times New Roman" w:hAnsi="Times New Roman" w:cs="Times New Roman"/>
          <w:sz w:val="22"/>
          <w:szCs w:val="22"/>
        </w:rPr>
        <w:t xml:space="preserve">of </w:t>
      </w:r>
      <w:r>
        <w:rPr>
          <w:rFonts w:ascii="Times New Roman" w:hAnsi="Times New Roman" w:cs="Times New Roman"/>
          <w:sz w:val="22"/>
          <w:szCs w:val="22"/>
        </w:rPr>
        <w:t xml:space="preserve">both </w:t>
      </w:r>
      <w:r w:rsidRPr="000257B4">
        <w:rPr>
          <w:rFonts w:ascii="Times New Roman" w:hAnsi="Times New Roman" w:cs="Times New Roman"/>
          <w:sz w:val="22"/>
          <w:szCs w:val="22"/>
        </w:rPr>
        <w:t>Willis and Capstone</w:t>
      </w:r>
      <w:r>
        <w:rPr>
          <w:rFonts w:ascii="Times New Roman" w:hAnsi="Times New Roman" w:cs="Times New Roman"/>
          <w:sz w:val="22"/>
          <w:szCs w:val="22"/>
        </w:rPr>
        <w:t>, reflecting the contributions of</w:t>
      </w:r>
      <w:r w:rsidRPr="000257B4">
        <w:rPr>
          <w:rFonts w:ascii="Times New Roman" w:hAnsi="Times New Roman" w:cs="Times New Roman"/>
          <w:sz w:val="22"/>
          <w:szCs w:val="22"/>
        </w:rPr>
        <w:t xml:space="preserve"> </w:t>
      </w:r>
      <w:r>
        <w:rPr>
          <w:rFonts w:ascii="Times New Roman" w:hAnsi="Times New Roman" w:cs="Times New Roman"/>
          <w:sz w:val="22"/>
          <w:szCs w:val="22"/>
        </w:rPr>
        <w:t>each party to the final version of the feasibility study, with each of Willis and Capstone agreeing on the final report.</w:t>
      </w:r>
    </w:p>
    <w:p w14:paraId="4D5B9492" w14:textId="77777777" w:rsidR="00FC046A" w:rsidRPr="00B67FCB" w:rsidRDefault="00FC046A">
      <w:pPr>
        <w:pStyle w:val="EndnoteText"/>
        <w:rPr>
          <w:rFonts w:ascii="Times New Roman" w:hAnsi="Times New Roman" w:cs="Times New Roman"/>
          <w:sz w:val="22"/>
          <w:szCs w:val="22"/>
        </w:rPr>
      </w:pPr>
    </w:p>
  </w:endnote>
  <w:endnote w:id="99">
    <w:p w14:paraId="0DAD264B" w14:textId="79B079A1" w:rsidR="00FC046A" w:rsidRDefault="00FC046A">
      <w:pPr>
        <w:pStyle w:val="EndnoteText"/>
        <w:rPr>
          <w:rFonts w:ascii="Times New Roman" w:hAnsi="Times New Roman" w:cs="Times New Roman"/>
          <w:sz w:val="22"/>
          <w:szCs w:val="22"/>
        </w:rPr>
      </w:pPr>
      <w:r w:rsidRPr="00B57CD8">
        <w:rPr>
          <w:rStyle w:val="EndnoteReference"/>
          <w:rFonts w:ascii="Times New Roman" w:hAnsi="Times New Roman" w:cs="Times New Roman"/>
          <w:sz w:val="22"/>
          <w:szCs w:val="22"/>
        </w:rPr>
        <w:endnoteRef/>
      </w:r>
      <w:r w:rsidRPr="00B57CD8">
        <w:rPr>
          <w:rFonts w:ascii="Times New Roman" w:hAnsi="Times New Roman" w:cs="Times New Roman"/>
          <w:sz w:val="22"/>
          <w:szCs w:val="22"/>
        </w:rPr>
        <w:t xml:space="preserve"> </w:t>
      </w:r>
      <w:r w:rsidRPr="00697B3D">
        <w:rPr>
          <w:rFonts w:ascii="Times New Roman" w:hAnsi="Times New Roman" w:cs="Times New Roman"/>
          <w:sz w:val="22"/>
          <w:szCs w:val="22"/>
        </w:rPr>
        <w:t xml:space="preserve">For example, </w:t>
      </w:r>
      <w:r>
        <w:rPr>
          <w:rFonts w:ascii="Times New Roman" w:hAnsi="Times New Roman" w:cs="Times New Roman"/>
          <w:sz w:val="22"/>
          <w:szCs w:val="22"/>
        </w:rPr>
        <w:t>s</w:t>
      </w:r>
      <w:r w:rsidRPr="00697B3D">
        <w:rPr>
          <w:rFonts w:ascii="Times New Roman" w:hAnsi="Times New Roman" w:cs="Times New Roman"/>
          <w:sz w:val="22"/>
          <w:szCs w:val="22"/>
        </w:rPr>
        <w:t xml:space="preserve">ee </w:t>
      </w:r>
      <w:r>
        <w:rPr>
          <w:rFonts w:ascii="Times New Roman" w:hAnsi="Times New Roman" w:cs="Times New Roman"/>
          <w:sz w:val="22"/>
          <w:szCs w:val="22"/>
        </w:rPr>
        <w:t xml:space="preserve">article on </w:t>
      </w:r>
      <w:hyperlink r:id="rId4" w:history="1">
        <w:r w:rsidRPr="00531300">
          <w:rPr>
            <w:rStyle w:val="Hyperlink"/>
            <w:rFonts w:ascii="Times New Roman" w:hAnsi="Times New Roman" w:cs="Times New Roman"/>
            <w:sz w:val="22"/>
            <w:szCs w:val="22"/>
          </w:rPr>
          <w:t>Captive.com</w:t>
        </w:r>
      </w:hyperlink>
      <w:r>
        <w:rPr>
          <w:rFonts w:ascii="Times New Roman" w:hAnsi="Times New Roman" w:cs="Times New Roman"/>
          <w:sz w:val="22"/>
          <w:szCs w:val="22"/>
        </w:rPr>
        <w:t xml:space="preserve"> by </w:t>
      </w:r>
      <w:r w:rsidRPr="00806651">
        <w:rPr>
          <w:rFonts w:ascii="Times New Roman" w:hAnsi="Times New Roman" w:cs="Times New Roman"/>
          <w:sz w:val="22"/>
          <w:szCs w:val="22"/>
        </w:rPr>
        <w:t xml:space="preserve">P. Bruce Wright, M. Kristan Rizzolo, and Saren Goldner </w:t>
      </w:r>
      <w:r w:rsidRPr="00D0082B">
        <w:rPr>
          <w:rFonts w:ascii="Times New Roman" w:hAnsi="Times New Roman" w:cs="Times New Roman"/>
          <w:sz w:val="22"/>
          <w:szCs w:val="22"/>
        </w:rPr>
        <w:t>Oliver,</w:t>
      </w:r>
      <w:r>
        <w:rPr>
          <w:rFonts w:ascii="Times New Roman" w:hAnsi="Times New Roman" w:cs="Times New Roman"/>
          <w:sz w:val="22"/>
          <w:szCs w:val="22"/>
        </w:rPr>
        <w:t xml:space="preserve"> </w:t>
      </w:r>
      <w:r w:rsidRPr="00697B3D">
        <w:rPr>
          <w:rFonts w:ascii="Times New Roman" w:hAnsi="Times New Roman" w:cs="Times New Roman"/>
          <w:sz w:val="22"/>
          <w:szCs w:val="22"/>
        </w:rPr>
        <w:t>“</w:t>
      </w:r>
      <w:r w:rsidRPr="008C0B31">
        <w:rPr>
          <w:rFonts w:ascii="Times New Roman" w:hAnsi="Times New Roman" w:cs="Times New Roman"/>
          <w:sz w:val="22"/>
          <w:szCs w:val="22"/>
        </w:rPr>
        <w:t>Group Captives, Cell Captives, and Risk Pooling Arrangements Guide</w:t>
      </w:r>
      <w:r w:rsidRPr="00697B3D">
        <w:rPr>
          <w:rFonts w:ascii="Times New Roman" w:hAnsi="Times New Roman" w:cs="Times New Roman"/>
          <w:sz w:val="22"/>
          <w:szCs w:val="22"/>
        </w:rPr>
        <w:t xml:space="preserve">,” </w:t>
      </w:r>
      <w:r>
        <w:rPr>
          <w:rFonts w:ascii="Times New Roman" w:hAnsi="Times New Roman" w:cs="Times New Roman"/>
          <w:sz w:val="22"/>
          <w:szCs w:val="22"/>
        </w:rPr>
        <w:t>February 1</w:t>
      </w:r>
      <w:r w:rsidRPr="00697B3D">
        <w:rPr>
          <w:rFonts w:ascii="Times New Roman" w:hAnsi="Times New Roman" w:cs="Times New Roman"/>
          <w:sz w:val="22"/>
          <w:szCs w:val="22"/>
        </w:rPr>
        <w:t>, 2017</w:t>
      </w:r>
      <w:r>
        <w:rPr>
          <w:rFonts w:ascii="Times New Roman" w:hAnsi="Times New Roman" w:cs="Times New Roman"/>
          <w:sz w:val="22"/>
          <w:szCs w:val="22"/>
        </w:rPr>
        <w:t xml:space="preserve">.  The article can be found </w:t>
      </w:r>
      <w:hyperlink r:id="rId5" w:history="1">
        <w:r w:rsidRPr="0011567D">
          <w:rPr>
            <w:rStyle w:val="Hyperlink"/>
            <w:rFonts w:ascii="Times New Roman" w:hAnsi="Times New Roman" w:cs="Times New Roman"/>
            <w:sz w:val="22"/>
            <w:szCs w:val="22"/>
          </w:rPr>
          <w:t>here</w:t>
        </w:r>
      </w:hyperlink>
      <w:r>
        <w:rPr>
          <w:rFonts w:ascii="Times New Roman" w:hAnsi="Times New Roman" w:cs="Times New Roman"/>
          <w:sz w:val="22"/>
          <w:szCs w:val="22"/>
        </w:rPr>
        <w:t xml:space="preserve"> and describes captive pooling arrangements as follows:</w:t>
      </w:r>
    </w:p>
    <w:p w14:paraId="6AE3633E" w14:textId="77777777" w:rsidR="00FC046A" w:rsidRDefault="00FC046A">
      <w:pPr>
        <w:pStyle w:val="EndnoteText"/>
        <w:rPr>
          <w:rFonts w:ascii="Times New Roman" w:hAnsi="Times New Roman" w:cs="Times New Roman"/>
          <w:sz w:val="22"/>
          <w:szCs w:val="22"/>
        </w:rPr>
      </w:pPr>
    </w:p>
    <w:p w14:paraId="2BBF4E01" w14:textId="0C2972B8" w:rsidR="00FC046A" w:rsidRPr="00B57CD8" w:rsidRDefault="00FC046A">
      <w:pPr>
        <w:pStyle w:val="EndnoteText"/>
        <w:rPr>
          <w:rFonts w:ascii="Times New Roman" w:hAnsi="Times New Roman" w:cs="Times New Roman"/>
          <w:sz w:val="22"/>
          <w:szCs w:val="22"/>
        </w:rPr>
      </w:pPr>
      <w:r>
        <w:rPr>
          <w:rFonts w:ascii="Times New Roman" w:hAnsi="Times New Roman" w:cs="Times New Roman"/>
          <w:sz w:val="22"/>
          <w:szCs w:val="22"/>
        </w:rPr>
        <w:t>“</w:t>
      </w:r>
      <w:r w:rsidRPr="0067119E">
        <w:rPr>
          <w:rFonts w:ascii="Times New Roman" w:hAnsi="Times New Roman" w:cs="Times New Roman"/>
          <w:sz w:val="22"/>
          <w:szCs w:val="22"/>
        </w:rPr>
        <w:t>Pooling arrangements are sometimes employed as a way to reduce loss variability and achieve the risk shifting and risk distribution necessary for premiums paid to a captive insurance company to be deductible for the insured parent.  Although risk pooling arrangements may differ in structure, the effect is to take risks of multiple captive insurance companies and share them among the participating captives. Thus, for example, each of 10 captive insurance companies owned by 10 unrelated insureds (each of which insures only the risk of its owner) can cede all (or a portion of) its assumed risk to a single unrelated entity, X, and then assume a portion of X's business so assumed. For ease of illustration, assume each captive cedes the same amount of premium. In this scenario, each captive would typically participate as a reinsurer in 10 percent of the pooled risk and would assume as a cedent 10 percent of each cedent's risk (including their own). So, in the end, each captive would have 90 percent of the other parties' risk.</w:t>
      </w:r>
      <w:r>
        <w:rPr>
          <w:rFonts w:ascii="Times New Roman" w:hAnsi="Times New Roman" w:cs="Times New Roman"/>
          <w:sz w:val="22"/>
          <w:szCs w:val="22"/>
        </w:rPr>
        <w:t xml:space="preserve">  </w:t>
      </w:r>
      <w:r w:rsidRPr="008B3D0C">
        <w:rPr>
          <w:rFonts w:ascii="Times New Roman" w:hAnsi="Times New Roman" w:cs="Times New Roman"/>
          <w:sz w:val="22"/>
          <w:szCs w:val="22"/>
        </w:rPr>
        <w:t>In some cases, pools are entirely operated by a third party who decides who can participate and who cannot. In other cases, a third party administers the pool, but the pool members make decisions as to terms, who can participate</w:t>
      </w:r>
      <w:r>
        <w:rPr>
          <w:rFonts w:ascii="Times New Roman" w:hAnsi="Times New Roman" w:cs="Times New Roman"/>
          <w:sz w:val="22"/>
          <w:szCs w:val="22"/>
        </w:rPr>
        <w:t xml:space="preserve">, ...  </w:t>
      </w:r>
      <w:r w:rsidRPr="0011567D">
        <w:rPr>
          <w:rFonts w:ascii="Times New Roman" w:hAnsi="Times New Roman" w:cs="Times New Roman"/>
          <w:sz w:val="22"/>
          <w:szCs w:val="22"/>
        </w:rPr>
        <w:t>In some cases, pools are entirely operated by a third party who decides who can participate and who cannot. In other cases, a third party administers the pool, but the pool members make decisions as to terms, who can participate</w:t>
      </w:r>
      <w:r>
        <w:rPr>
          <w:rFonts w:ascii="Times New Roman" w:hAnsi="Times New Roman" w:cs="Times New Roman"/>
          <w:sz w:val="22"/>
          <w:szCs w:val="22"/>
        </w:rPr>
        <w:t>, …”</w:t>
      </w:r>
    </w:p>
    <w:p w14:paraId="201BBC20" w14:textId="77777777" w:rsidR="00FC046A" w:rsidRPr="00B57CD8" w:rsidRDefault="00FC046A">
      <w:pPr>
        <w:pStyle w:val="EndnoteText"/>
        <w:rPr>
          <w:rFonts w:ascii="Times New Roman" w:hAnsi="Times New Roman" w:cs="Times New Roman"/>
          <w:sz w:val="22"/>
          <w:szCs w:val="22"/>
        </w:rPr>
      </w:pPr>
    </w:p>
  </w:endnote>
  <w:endnote w:id="100">
    <w:p w14:paraId="4D5F914F" w14:textId="2D22AB4D" w:rsidR="00FC046A" w:rsidRPr="00AC094C" w:rsidRDefault="00FC046A">
      <w:pPr>
        <w:pStyle w:val="EndnoteText"/>
        <w:rPr>
          <w:rFonts w:ascii="Times New Roman" w:hAnsi="Times New Roman" w:cs="Times New Roman"/>
          <w:sz w:val="22"/>
          <w:szCs w:val="22"/>
        </w:rPr>
      </w:pPr>
      <w:r w:rsidRPr="00AC094C">
        <w:rPr>
          <w:rStyle w:val="EndnoteReference"/>
          <w:rFonts w:ascii="Times New Roman" w:hAnsi="Times New Roman" w:cs="Times New Roman"/>
          <w:sz w:val="22"/>
          <w:szCs w:val="22"/>
        </w:rPr>
        <w:endnoteRef/>
      </w:r>
      <w:r w:rsidRPr="00AC094C">
        <w:rPr>
          <w:rFonts w:ascii="Times New Roman" w:hAnsi="Times New Roman" w:cs="Times New Roman"/>
          <w:sz w:val="22"/>
          <w:szCs w:val="22"/>
        </w:rPr>
        <w:t xml:space="preserve"> </w:t>
      </w:r>
      <w:r w:rsidRPr="004C096E">
        <w:rPr>
          <w:rFonts w:ascii="Times New Roman" w:hAnsi="Times New Roman" w:cs="Times New Roman"/>
          <w:sz w:val="22"/>
          <w:szCs w:val="22"/>
        </w:rPr>
        <w:t xml:space="preserve">See testimony of Lance McNeel, </w:t>
      </w:r>
      <w:r>
        <w:rPr>
          <w:rFonts w:ascii="Times New Roman" w:hAnsi="Times New Roman" w:cs="Times New Roman"/>
          <w:sz w:val="22"/>
          <w:szCs w:val="22"/>
        </w:rPr>
        <w:t>Tr.</w:t>
      </w:r>
      <w:r w:rsidRPr="004C096E">
        <w:rPr>
          <w:rFonts w:ascii="Times New Roman" w:hAnsi="Times New Roman" w:cs="Times New Roman"/>
          <w:sz w:val="22"/>
          <w:szCs w:val="22"/>
        </w:rPr>
        <w:t xml:space="preserve"> at 368-372 </w:t>
      </w:r>
      <w:r w:rsidRPr="002D65D0">
        <w:rPr>
          <w:rFonts w:ascii="Times New Roman" w:hAnsi="Times New Roman" w:cs="Times New Roman"/>
          <w:sz w:val="22"/>
          <w:szCs w:val="22"/>
        </w:rPr>
        <w:t xml:space="preserve">and Exhibit </w:t>
      </w:r>
      <w:r w:rsidRPr="00576278">
        <w:rPr>
          <w:rFonts w:ascii="Times New Roman" w:hAnsi="Times New Roman"/>
          <w:sz w:val="22"/>
        </w:rPr>
        <w:t>95-J</w:t>
      </w:r>
      <w:r w:rsidRPr="002D65D0">
        <w:rPr>
          <w:rFonts w:ascii="Times New Roman" w:hAnsi="Times New Roman" w:cs="Times New Roman"/>
          <w:sz w:val="22"/>
          <w:szCs w:val="22"/>
        </w:rPr>
        <w:t xml:space="preserve"> (</w:t>
      </w:r>
      <w:r>
        <w:rPr>
          <w:rFonts w:ascii="Times New Roman" w:hAnsi="Times New Roman" w:cs="Times New Roman"/>
          <w:sz w:val="22"/>
          <w:szCs w:val="22"/>
        </w:rPr>
        <w:t xml:space="preserve">Report of </w:t>
      </w:r>
      <w:r w:rsidRPr="004F7708">
        <w:rPr>
          <w:rFonts w:ascii="Times New Roman" w:hAnsi="Times New Roman" w:cs="Times New Roman"/>
          <w:sz w:val="22"/>
          <w:szCs w:val="22"/>
        </w:rPr>
        <w:t xml:space="preserve">actuary Steven Glicksman to Capstone’s Lance McNeel, CPCU dated January 31, 2012 </w:t>
      </w:r>
      <w:r>
        <w:rPr>
          <w:rFonts w:ascii="Times New Roman" w:hAnsi="Times New Roman" w:cs="Times New Roman"/>
          <w:sz w:val="22"/>
          <w:szCs w:val="22"/>
        </w:rPr>
        <w:t>with</w:t>
      </w:r>
      <w:r w:rsidRPr="004F7708">
        <w:rPr>
          <w:rFonts w:ascii="Times New Roman" w:hAnsi="Times New Roman" w:cs="Times New Roman"/>
          <w:sz w:val="22"/>
          <w:szCs w:val="22"/>
        </w:rPr>
        <w:t xml:space="preserve"> “Discussion of PoolRe’s Coverage Options”), which also referenced </w:t>
      </w:r>
      <w:r>
        <w:rPr>
          <w:rFonts w:ascii="Times New Roman" w:hAnsi="Times New Roman" w:cs="Times New Roman"/>
          <w:sz w:val="22"/>
          <w:szCs w:val="22"/>
        </w:rPr>
        <w:t xml:space="preserve">his prior </w:t>
      </w:r>
      <w:r w:rsidRPr="004F7708">
        <w:rPr>
          <w:rFonts w:ascii="Times New Roman" w:hAnsi="Times New Roman" w:cs="Times New Roman"/>
          <w:sz w:val="22"/>
          <w:szCs w:val="22"/>
        </w:rPr>
        <w:t>October 20, 2009</w:t>
      </w:r>
      <w:r>
        <w:rPr>
          <w:rFonts w:ascii="Times New Roman" w:hAnsi="Times New Roman" w:cs="Times New Roman"/>
          <w:sz w:val="22"/>
          <w:szCs w:val="22"/>
        </w:rPr>
        <w:t xml:space="preserve"> report</w:t>
      </w:r>
      <w:r w:rsidRPr="004F7708">
        <w:rPr>
          <w:rFonts w:ascii="Times New Roman" w:hAnsi="Times New Roman" w:cs="Times New Roman"/>
          <w:sz w:val="22"/>
          <w:szCs w:val="22"/>
        </w:rPr>
        <w:t>.</w:t>
      </w:r>
    </w:p>
    <w:p w14:paraId="66566F98" w14:textId="77777777" w:rsidR="00FC046A" w:rsidRPr="002A04A0" w:rsidRDefault="00FC046A">
      <w:pPr>
        <w:pStyle w:val="EndnoteText"/>
        <w:rPr>
          <w:rFonts w:ascii="Times New Roman" w:hAnsi="Times New Roman" w:cs="Times New Roman"/>
          <w:sz w:val="22"/>
          <w:szCs w:val="22"/>
        </w:rPr>
      </w:pPr>
    </w:p>
  </w:endnote>
  <w:endnote w:id="101">
    <w:p w14:paraId="7801AD63" w14:textId="26127421" w:rsidR="00FC046A" w:rsidRPr="00C22883" w:rsidRDefault="00FC046A" w:rsidP="002A04A0">
      <w:pPr>
        <w:pStyle w:val="EndnoteText"/>
        <w:rPr>
          <w:rFonts w:ascii="Times New Roman" w:hAnsi="Times New Roman" w:cs="Times New Roman"/>
          <w:sz w:val="22"/>
          <w:szCs w:val="22"/>
        </w:rPr>
      </w:pPr>
      <w:r w:rsidRPr="002A04A0">
        <w:rPr>
          <w:rStyle w:val="EndnoteReference"/>
          <w:rFonts w:ascii="Times New Roman" w:hAnsi="Times New Roman" w:cs="Times New Roman"/>
          <w:sz w:val="22"/>
          <w:szCs w:val="22"/>
        </w:rPr>
        <w:endnoteRef/>
      </w:r>
      <w:r w:rsidRPr="002A04A0">
        <w:rPr>
          <w:rFonts w:ascii="Times New Roman" w:hAnsi="Times New Roman" w:cs="Times New Roman"/>
          <w:sz w:val="22"/>
          <w:szCs w:val="22"/>
        </w:rPr>
        <w:t xml:space="preserve"> </w:t>
      </w:r>
      <w:r w:rsidRPr="00F35084">
        <w:rPr>
          <w:rFonts w:ascii="Times New Roman" w:hAnsi="Times New Roman" w:cs="Times New Roman"/>
          <w:sz w:val="22"/>
          <w:szCs w:val="22"/>
        </w:rPr>
        <w:t xml:space="preserve">See Exhibit 16-J (Captive Insurance Feasibility Study for Peak Mechanical &amp; Components, Inc., Initial Site Visit: August 13, 2008), </w:t>
      </w:r>
      <w:r>
        <w:rPr>
          <w:rFonts w:ascii="Times New Roman" w:hAnsi="Times New Roman" w:cs="Times New Roman"/>
          <w:sz w:val="22"/>
          <w:szCs w:val="22"/>
        </w:rPr>
        <w:t xml:space="preserve">at </w:t>
      </w:r>
      <w:r w:rsidRPr="00F35084">
        <w:rPr>
          <w:rFonts w:ascii="Times New Roman" w:hAnsi="Times New Roman" w:cs="Times New Roman"/>
          <w:sz w:val="22"/>
          <w:szCs w:val="22"/>
        </w:rPr>
        <w:t>22, Section IV.2 (Advantages to Captives), subsection on “Goals With Respect to Forming a Captive.”</w:t>
      </w:r>
      <w:r>
        <w:rPr>
          <w:rFonts w:ascii="Times New Roman" w:hAnsi="Times New Roman" w:cs="Times New Roman"/>
          <w:sz w:val="22"/>
          <w:szCs w:val="22"/>
        </w:rPr>
        <w:t xml:space="preserve">  The feasibility study clearly explained the purpose of the PoolRe pooling arrangement to be administered by Capstone as follows: “</w:t>
      </w:r>
      <w:r w:rsidRPr="002A04A0">
        <w:rPr>
          <w:rFonts w:ascii="Times New Roman" w:hAnsi="Times New Roman" w:cs="Times New Roman"/>
          <w:sz w:val="22"/>
          <w:szCs w:val="22"/>
        </w:rPr>
        <w:t>The captive’s risk diversification efforts will be handled predominantly through</w:t>
      </w:r>
      <w:r>
        <w:rPr>
          <w:rFonts w:ascii="Times New Roman" w:hAnsi="Times New Roman" w:cs="Times New Roman"/>
          <w:sz w:val="22"/>
          <w:szCs w:val="22"/>
        </w:rPr>
        <w:t xml:space="preserve"> </w:t>
      </w:r>
      <w:r w:rsidRPr="002A04A0">
        <w:rPr>
          <w:rFonts w:ascii="Times New Roman" w:hAnsi="Times New Roman" w:cs="Times New Roman"/>
          <w:sz w:val="22"/>
          <w:szCs w:val="22"/>
        </w:rPr>
        <w:t>coverage design,</w:t>
      </w:r>
      <w:r>
        <w:rPr>
          <w:rFonts w:ascii="Times New Roman" w:hAnsi="Times New Roman" w:cs="Times New Roman"/>
          <w:sz w:val="22"/>
          <w:szCs w:val="22"/>
        </w:rPr>
        <w:t xml:space="preserve"> </w:t>
      </w:r>
      <w:r w:rsidRPr="002A04A0">
        <w:rPr>
          <w:rFonts w:ascii="Times New Roman" w:hAnsi="Times New Roman" w:cs="Times New Roman"/>
          <w:sz w:val="22"/>
          <w:szCs w:val="22"/>
        </w:rPr>
        <w:t>through participation in an insurance pooling of similar policies among unrelated companies and through</w:t>
      </w:r>
      <w:r>
        <w:rPr>
          <w:rFonts w:ascii="Times New Roman" w:hAnsi="Times New Roman" w:cs="Times New Roman"/>
          <w:sz w:val="22"/>
          <w:szCs w:val="22"/>
        </w:rPr>
        <w:t xml:space="preserve"> </w:t>
      </w:r>
      <w:r w:rsidRPr="002A04A0">
        <w:rPr>
          <w:rFonts w:ascii="Times New Roman" w:hAnsi="Times New Roman" w:cs="Times New Roman"/>
          <w:sz w:val="22"/>
          <w:szCs w:val="22"/>
        </w:rPr>
        <w:t xml:space="preserve">the reinsurance assumption of </w:t>
      </w:r>
      <w:r w:rsidRPr="00C22883">
        <w:rPr>
          <w:rFonts w:ascii="Times New Roman" w:hAnsi="Times New Roman" w:cs="Times New Roman"/>
          <w:sz w:val="22"/>
          <w:szCs w:val="22"/>
        </w:rPr>
        <w:t>unrelated business, most of which is expected to be co-arranged and co administered by Capstone. In addition, the proposed insured expects Capstone to help ensure improved service over conventional insurers, increase control of its risk management program, and to enhance its overall risk management perspective.”</w:t>
      </w:r>
    </w:p>
    <w:p w14:paraId="5D94DA28" w14:textId="77777777" w:rsidR="00FC046A" w:rsidRPr="00C22883" w:rsidRDefault="00FC046A">
      <w:pPr>
        <w:pStyle w:val="EndnoteText"/>
        <w:rPr>
          <w:rFonts w:ascii="Times New Roman" w:hAnsi="Times New Roman" w:cs="Times New Roman"/>
          <w:sz w:val="22"/>
          <w:szCs w:val="22"/>
        </w:rPr>
      </w:pPr>
    </w:p>
  </w:endnote>
  <w:endnote w:id="102">
    <w:p w14:paraId="019773F9" w14:textId="610DB774" w:rsidR="00FC046A" w:rsidRDefault="00FC046A">
      <w:pPr>
        <w:pStyle w:val="EndnoteText"/>
        <w:rPr>
          <w:rFonts w:ascii="Times New Roman" w:hAnsi="Times New Roman" w:cs="Times New Roman"/>
          <w:sz w:val="22"/>
          <w:szCs w:val="22"/>
        </w:rPr>
      </w:pPr>
      <w:r w:rsidRPr="00C22883">
        <w:rPr>
          <w:rStyle w:val="EndnoteReference"/>
          <w:rFonts w:ascii="Times New Roman" w:hAnsi="Times New Roman" w:cs="Times New Roman"/>
          <w:sz w:val="22"/>
          <w:szCs w:val="22"/>
        </w:rPr>
        <w:endnoteRef/>
      </w:r>
      <w:r w:rsidRPr="00C22883">
        <w:rPr>
          <w:rFonts w:ascii="Times New Roman" w:hAnsi="Times New Roman" w:cs="Times New Roman"/>
          <w:sz w:val="22"/>
          <w:szCs w:val="22"/>
        </w:rPr>
        <w:t xml:space="preserve"> </w:t>
      </w:r>
      <w:r>
        <w:rPr>
          <w:rFonts w:ascii="Times New Roman" w:hAnsi="Times New Roman" w:cs="Times New Roman"/>
          <w:sz w:val="22"/>
          <w:szCs w:val="22"/>
        </w:rPr>
        <w:t xml:space="preserve">As </w:t>
      </w:r>
      <w:r w:rsidRPr="003B3806">
        <w:rPr>
          <w:rFonts w:ascii="Times New Roman" w:hAnsi="Times New Roman" w:cs="Times New Roman"/>
          <w:sz w:val="22"/>
          <w:szCs w:val="22"/>
        </w:rPr>
        <w:t>discussed in note 68 supra, Dr. Doherty</w:t>
      </w:r>
      <w:r>
        <w:rPr>
          <w:rFonts w:ascii="Times New Roman" w:hAnsi="Times New Roman" w:cs="Times New Roman"/>
          <w:sz w:val="22"/>
          <w:szCs w:val="22"/>
        </w:rPr>
        <w:t xml:space="preserve"> testified at trial that the PoolRe pooling arrangement </w:t>
      </w:r>
      <w:r w:rsidRPr="00C22883">
        <w:rPr>
          <w:rFonts w:ascii="Times New Roman" w:hAnsi="Times New Roman" w:cs="Times New Roman"/>
          <w:sz w:val="22"/>
          <w:szCs w:val="22"/>
        </w:rPr>
        <w:t>reflect</w:t>
      </w:r>
      <w:r>
        <w:rPr>
          <w:rFonts w:ascii="Times New Roman" w:hAnsi="Times New Roman" w:cs="Times New Roman"/>
          <w:sz w:val="22"/>
          <w:szCs w:val="22"/>
        </w:rPr>
        <w:t>ed</w:t>
      </w:r>
      <w:r w:rsidRPr="00C22883">
        <w:rPr>
          <w:rFonts w:ascii="Times New Roman" w:hAnsi="Times New Roman" w:cs="Times New Roman"/>
          <w:sz w:val="22"/>
          <w:szCs w:val="22"/>
        </w:rPr>
        <w:t xml:space="preserve"> </w:t>
      </w:r>
      <w:r>
        <w:rPr>
          <w:rFonts w:ascii="Times New Roman" w:hAnsi="Times New Roman" w:cs="Times New Roman"/>
          <w:sz w:val="22"/>
          <w:szCs w:val="22"/>
        </w:rPr>
        <w:t>“</w:t>
      </w:r>
      <w:r w:rsidRPr="00C22883">
        <w:rPr>
          <w:rFonts w:ascii="Times New Roman" w:hAnsi="Times New Roman" w:cs="Times New Roman"/>
          <w:sz w:val="22"/>
          <w:szCs w:val="22"/>
        </w:rPr>
        <w:t>a common insurance practice of layering risk</w:t>
      </w:r>
      <w:r>
        <w:rPr>
          <w:rFonts w:ascii="Times New Roman" w:hAnsi="Times New Roman" w:cs="Times New Roman"/>
          <w:sz w:val="22"/>
          <w:szCs w:val="22"/>
        </w:rPr>
        <w:t>,” explaining this concept in his expert report as follows:</w:t>
      </w:r>
      <w:r w:rsidRPr="00C22883">
        <w:rPr>
          <w:rFonts w:ascii="Times New Roman" w:hAnsi="Times New Roman" w:cs="Times New Roman"/>
          <w:sz w:val="22"/>
          <w:szCs w:val="22"/>
        </w:rPr>
        <w:t xml:space="preserve"> </w:t>
      </w:r>
      <w:r>
        <w:rPr>
          <w:rFonts w:ascii="Times New Roman" w:hAnsi="Times New Roman" w:cs="Times New Roman"/>
          <w:sz w:val="22"/>
          <w:szCs w:val="22"/>
        </w:rPr>
        <w:t>“</w:t>
      </w:r>
      <w:r w:rsidRPr="00C22883">
        <w:rPr>
          <w:rFonts w:ascii="Times New Roman" w:hAnsi="Times New Roman" w:cs="Times New Roman"/>
          <w:sz w:val="22"/>
          <w:szCs w:val="22"/>
        </w:rPr>
        <w:t>Each member of the Capstone program insures losses up to some threshold with its own captive. Or, in other words, the first layer of each member’s losses are insured with its own captive. Each member then insures losses above the threshold (the higher layer) with PoolRe.  Thus, PoolRe insures the larger losses (or larger accumulations of claims) incurred by each member, leaving the smaller (and unaccumulated) losses with the captive.”</w:t>
      </w:r>
      <w:r>
        <w:rPr>
          <w:rFonts w:ascii="Times New Roman" w:hAnsi="Times New Roman" w:cs="Times New Roman"/>
          <w:sz w:val="22"/>
          <w:szCs w:val="22"/>
        </w:rPr>
        <w:t xml:space="preserve">  </w:t>
      </w:r>
      <w:r w:rsidRPr="00BB7CD6">
        <w:rPr>
          <w:rFonts w:ascii="Times New Roman" w:hAnsi="Times New Roman" w:cs="Times New Roman"/>
          <w:sz w:val="22"/>
          <w:szCs w:val="22"/>
        </w:rPr>
        <w:t>See</w:t>
      </w:r>
      <w:r>
        <w:rPr>
          <w:rFonts w:ascii="Times New Roman" w:hAnsi="Times New Roman" w:cs="Times New Roman"/>
          <w:sz w:val="22"/>
          <w:szCs w:val="22"/>
        </w:rPr>
        <w:t xml:space="preserve"> </w:t>
      </w:r>
      <w:r w:rsidRPr="00BB7CD6">
        <w:rPr>
          <w:rFonts w:ascii="Times New Roman" w:hAnsi="Times New Roman" w:cs="Times New Roman"/>
          <w:sz w:val="22"/>
          <w:szCs w:val="22"/>
        </w:rPr>
        <w:t xml:space="preserve">testimony of Dr. Neil Doherty, </w:t>
      </w:r>
      <w:r>
        <w:rPr>
          <w:rFonts w:ascii="Times New Roman" w:hAnsi="Times New Roman" w:cs="Times New Roman"/>
          <w:sz w:val="22"/>
          <w:szCs w:val="22"/>
        </w:rPr>
        <w:t>Tr.</w:t>
      </w:r>
      <w:r w:rsidRPr="00BB7CD6">
        <w:rPr>
          <w:rFonts w:ascii="Times New Roman" w:hAnsi="Times New Roman" w:cs="Times New Roman"/>
          <w:sz w:val="22"/>
          <w:szCs w:val="22"/>
        </w:rPr>
        <w:t xml:space="preserve"> at 235-236 and Exhibit 104-P (Expert Report of Dr. Neil Doherty, dated March 27, 2017), </w:t>
      </w:r>
      <w:r>
        <w:rPr>
          <w:rFonts w:ascii="Times New Roman" w:hAnsi="Times New Roman" w:cs="Times New Roman"/>
          <w:sz w:val="22"/>
          <w:szCs w:val="22"/>
        </w:rPr>
        <w:t xml:space="preserve">at </w:t>
      </w:r>
      <w:r w:rsidRPr="00BB7CD6">
        <w:rPr>
          <w:rFonts w:ascii="Times New Roman" w:hAnsi="Times New Roman" w:cs="Times New Roman"/>
          <w:sz w:val="22"/>
          <w:szCs w:val="22"/>
        </w:rPr>
        <w:t>14-15.</w:t>
      </w:r>
    </w:p>
    <w:p w14:paraId="20BF9218" w14:textId="77777777" w:rsidR="00FC046A" w:rsidRPr="00C22883" w:rsidRDefault="00FC046A">
      <w:pPr>
        <w:pStyle w:val="EndnoteText"/>
        <w:rPr>
          <w:rFonts w:ascii="Times New Roman" w:hAnsi="Times New Roman" w:cs="Times New Roman"/>
          <w:sz w:val="22"/>
          <w:szCs w:val="22"/>
        </w:rPr>
      </w:pPr>
    </w:p>
  </w:endnote>
  <w:endnote w:id="103">
    <w:p w14:paraId="1D0409A4" w14:textId="5C5FF898" w:rsidR="00FC046A" w:rsidRPr="0082245B" w:rsidRDefault="00FC046A">
      <w:pPr>
        <w:pStyle w:val="EndnoteText"/>
        <w:rPr>
          <w:rFonts w:ascii="Times New Roman" w:hAnsi="Times New Roman" w:cs="Times New Roman"/>
          <w:sz w:val="22"/>
          <w:szCs w:val="22"/>
        </w:rPr>
      </w:pPr>
      <w:r w:rsidRPr="0082245B">
        <w:rPr>
          <w:rStyle w:val="EndnoteReference"/>
          <w:rFonts w:ascii="Times New Roman" w:hAnsi="Times New Roman" w:cs="Times New Roman"/>
          <w:sz w:val="22"/>
          <w:szCs w:val="22"/>
        </w:rPr>
        <w:endnoteRef/>
      </w:r>
      <w:r w:rsidRPr="0082245B">
        <w:rPr>
          <w:rFonts w:ascii="Times New Roman" w:hAnsi="Times New Roman" w:cs="Times New Roman"/>
          <w:sz w:val="22"/>
          <w:szCs w:val="22"/>
        </w:rPr>
        <w:t xml:space="preserve"> See testimony of Lance McNeel, </w:t>
      </w:r>
      <w:r>
        <w:rPr>
          <w:rFonts w:ascii="Times New Roman" w:hAnsi="Times New Roman" w:cs="Times New Roman"/>
          <w:sz w:val="22"/>
          <w:szCs w:val="22"/>
        </w:rPr>
        <w:t>Tr.</w:t>
      </w:r>
      <w:r w:rsidRPr="0082245B">
        <w:rPr>
          <w:rFonts w:ascii="Times New Roman" w:hAnsi="Times New Roman" w:cs="Times New Roman"/>
          <w:sz w:val="22"/>
          <w:szCs w:val="22"/>
        </w:rPr>
        <w:t xml:space="preserve"> at 323-361</w:t>
      </w:r>
      <w:r>
        <w:rPr>
          <w:rFonts w:ascii="Times New Roman" w:hAnsi="Times New Roman" w:cs="Times New Roman"/>
          <w:sz w:val="22"/>
          <w:szCs w:val="22"/>
        </w:rPr>
        <w:t>.</w:t>
      </w:r>
    </w:p>
    <w:p w14:paraId="3EF28FE0" w14:textId="77777777" w:rsidR="00FC046A" w:rsidRPr="0082245B" w:rsidRDefault="00FC046A">
      <w:pPr>
        <w:pStyle w:val="EndnoteText"/>
        <w:rPr>
          <w:rFonts w:ascii="Times New Roman" w:hAnsi="Times New Roman" w:cs="Times New Roman"/>
          <w:sz w:val="22"/>
          <w:szCs w:val="22"/>
        </w:rPr>
      </w:pPr>
    </w:p>
  </w:endnote>
  <w:endnote w:id="104">
    <w:p w14:paraId="43A0FB2F" w14:textId="460ADBC2" w:rsidR="00FC046A" w:rsidRPr="00E0222C" w:rsidRDefault="00FC046A">
      <w:pPr>
        <w:pStyle w:val="EndnoteText"/>
        <w:rPr>
          <w:rFonts w:ascii="Times New Roman" w:hAnsi="Times New Roman" w:cs="Times New Roman"/>
          <w:sz w:val="22"/>
          <w:szCs w:val="22"/>
        </w:rPr>
      </w:pPr>
      <w:r w:rsidRPr="00E0222C">
        <w:rPr>
          <w:rStyle w:val="EndnoteReference"/>
          <w:rFonts w:ascii="Times New Roman" w:hAnsi="Times New Roman" w:cs="Times New Roman"/>
          <w:sz w:val="22"/>
          <w:szCs w:val="22"/>
        </w:rPr>
        <w:endnoteRef/>
      </w:r>
      <w:r w:rsidRPr="00E0222C">
        <w:rPr>
          <w:rFonts w:ascii="Times New Roman" w:hAnsi="Times New Roman" w:cs="Times New Roman"/>
          <w:sz w:val="22"/>
          <w:szCs w:val="22"/>
        </w:rPr>
        <w:t xml:space="preserve"> See testimony of Lance McNeel, </w:t>
      </w:r>
      <w:r>
        <w:rPr>
          <w:rFonts w:ascii="Times New Roman" w:hAnsi="Times New Roman" w:cs="Times New Roman"/>
          <w:sz w:val="22"/>
          <w:szCs w:val="22"/>
        </w:rPr>
        <w:t>Tr.</w:t>
      </w:r>
      <w:r w:rsidRPr="00E0222C">
        <w:rPr>
          <w:rFonts w:ascii="Times New Roman" w:hAnsi="Times New Roman" w:cs="Times New Roman"/>
          <w:sz w:val="22"/>
          <w:szCs w:val="22"/>
        </w:rPr>
        <w:t xml:space="preserve"> at 3</w:t>
      </w:r>
      <w:r>
        <w:rPr>
          <w:rFonts w:ascii="Times New Roman" w:hAnsi="Times New Roman" w:cs="Times New Roman"/>
          <w:sz w:val="22"/>
          <w:szCs w:val="22"/>
        </w:rPr>
        <w:t xml:space="preserve">56.  McNeel testified that </w:t>
      </w:r>
      <w:r w:rsidRPr="0047640B">
        <w:rPr>
          <w:rFonts w:ascii="Times New Roman" w:hAnsi="Times New Roman" w:cs="Times New Roman"/>
          <w:sz w:val="22"/>
          <w:szCs w:val="22"/>
        </w:rPr>
        <w:t xml:space="preserve">that Capstone’s pricing procedures were unique to </w:t>
      </w:r>
      <w:r w:rsidRPr="00CA1BBE">
        <w:rPr>
          <w:rFonts w:ascii="Times New Roman" w:hAnsi="Times New Roman" w:cs="Times New Roman"/>
          <w:sz w:val="22"/>
          <w:szCs w:val="22"/>
        </w:rPr>
        <w:t>each captive insurance company that Capstone managed, taking into account multiple individual risk factors.  See also note 136 infra.</w:t>
      </w:r>
    </w:p>
    <w:p w14:paraId="3DA9161C" w14:textId="77777777" w:rsidR="00FC046A" w:rsidRPr="00E0222C" w:rsidRDefault="00FC046A">
      <w:pPr>
        <w:pStyle w:val="EndnoteText"/>
        <w:rPr>
          <w:rFonts w:ascii="Times New Roman" w:hAnsi="Times New Roman" w:cs="Times New Roman"/>
          <w:sz w:val="22"/>
          <w:szCs w:val="22"/>
        </w:rPr>
      </w:pPr>
    </w:p>
  </w:endnote>
  <w:endnote w:id="105">
    <w:p w14:paraId="01A15E73" w14:textId="2089FF51" w:rsidR="00FC046A" w:rsidRDefault="00FC046A" w:rsidP="005805D3">
      <w:pPr>
        <w:pStyle w:val="EndnoteText"/>
        <w:rPr>
          <w:rFonts w:ascii="Times New Roman" w:hAnsi="Times New Roman" w:cs="Times New Roman"/>
          <w:sz w:val="22"/>
          <w:szCs w:val="22"/>
        </w:rPr>
      </w:pPr>
      <w:r w:rsidRPr="00A07453">
        <w:rPr>
          <w:rStyle w:val="EndnoteReference"/>
          <w:rFonts w:ascii="Times New Roman" w:hAnsi="Times New Roman" w:cs="Times New Roman"/>
          <w:sz w:val="22"/>
          <w:szCs w:val="22"/>
        </w:rPr>
        <w:endnoteRef/>
      </w:r>
      <w:r w:rsidRPr="00A07453">
        <w:rPr>
          <w:rFonts w:ascii="Times New Roman" w:hAnsi="Times New Roman" w:cs="Times New Roman"/>
          <w:sz w:val="22"/>
          <w:szCs w:val="22"/>
        </w:rPr>
        <w:t xml:space="preserve"> See Exhibit 27-J (Reserve Casualty Corp</w:t>
      </w:r>
      <w:r w:rsidRPr="006F6E9C">
        <w:rPr>
          <w:rFonts w:ascii="Times New Roman" w:hAnsi="Times New Roman" w:cs="Times New Roman"/>
          <w:sz w:val="22"/>
          <w:szCs w:val="22"/>
        </w:rPr>
        <w:t>., Audited Financial Statements and Notes, Statutory Basis,</w:t>
      </w:r>
      <w:r>
        <w:rPr>
          <w:rFonts w:ascii="Times New Roman" w:hAnsi="Times New Roman" w:cs="Times New Roman"/>
          <w:sz w:val="22"/>
          <w:szCs w:val="22"/>
        </w:rPr>
        <w:t xml:space="preserve"> </w:t>
      </w:r>
      <w:r w:rsidRPr="006F6E9C">
        <w:rPr>
          <w:rFonts w:ascii="Times New Roman" w:hAnsi="Times New Roman" w:cs="Times New Roman"/>
          <w:sz w:val="22"/>
          <w:szCs w:val="22"/>
        </w:rPr>
        <w:t xml:space="preserve"> </w:t>
      </w:r>
      <w:r w:rsidRPr="00BB7143">
        <w:rPr>
          <w:rFonts w:ascii="Times New Roman" w:hAnsi="Times New Roman" w:cs="Times New Roman"/>
          <w:b/>
          <w:sz w:val="22"/>
          <w:szCs w:val="22"/>
        </w:rPr>
        <w:t>December 31, 2010</w:t>
      </w:r>
      <w:r w:rsidRPr="00721B89">
        <w:rPr>
          <w:rFonts w:ascii="Times New Roman" w:hAnsi="Times New Roman" w:cs="Times New Roman"/>
          <w:sz w:val="22"/>
          <w:szCs w:val="22"/>
        </w:rPr>
        <w:t xml:space="preserve"> and the Period from inception to December 31, 2009), page 6, Note 2(c)</w:t>
      </w:r>
      <w:r>
        <w:rPr>
          <w:rFonts w:ascii="Times New Roman" w:hAnsi="Times New Roman" w:cs="Times New Roman"/>
          <w:sz w:val="22"/>
          <w:szCs w:val="22"/>
        </w:rPr>
        <w:t xml:space="preserve"> entitled “Reinsurance Pool Program,” which states as follows: “The Company participates in a reinsurance pooling program with other unrelated insurance companies (“pool participants”), </w:t>
      </w:r>
      <w:r w:rsidRPr="001010FE">
        <w:rPr>
          <w:rFonts w:ascii="Times New Roman" w:hAnsi="Times New Roman" w:cs="Times New Roman"/>
          <w:b/>
          <w:sz w:val="22"/>
          <w:szCs w:val="22"/>
        </w:rPr>
        <w:t>of which there were 58 in 2010</w:t>
      </w:r>
      <w:r>
        <w:rPr>
          <w:rFonts w:ascii="Times New Roman" w:hAnsi="Times New Roman" w:cs="Times New Roman"/>
          <w:sz w:val="22"/>
          <w:szCs w:val="22"/>
        </w:rPr>
        <w:t xml:space="preserve">.  This risk pool is operated by an unaffiliated regulated insurance corporation, PoolRe Insurance Corp. (“PoolRe”).  Each pool participant has one or more affiliated operating entities for which it underwrites insurance coverage, which is generally similar casualty-type coverages.  PoolRe participates in these policies through Stop Loss insurance contracts.  In total, the PoolRe sponsored risk pool comprises </w:t>
      </w:r>
      <w:r w:rsidRPr="00CB5869">
        <w:rPr>
          <w:rFonts w:ascii="Times New Roman" w:hAnsi="Times New Roman" w:cs="Times New Roman"/>
          <w:b/>
          <w:sz w:val="22"/>
          <w:szCs w:val="22"/>
        </w:rPr>
        <w:t>more than 650 Stop Loss insurance contracts for more than 200 insureds</w:t>
      </w:r>
      <w:r>
        <w:rPr>
          <w:rFonts w:ascii="Times New Roman" w:hAnsi="Times New Roman" w:cs="Times New Roman"/>
          <w:sz w:val="22"/>
          <w:szCs w:val="22"/>
        </w:rPr>
        <w:t>, which include policies issued by the Company as well as those issued by the other pool participants, all of which are unrelated insurance companies.” (Emphasis added).</w:t>
      </w:r>
    </w:p>
    <w:p w14:paraId="6C4A6CEA" w14:textId="372E48B6" w:rsidR="00FC046A" w:rsidRDefault="00FC046A">
      <w:pPr>
        <w:pStyle w:val="EndnoteText"/>
        <w:rPr>
          <w:rFonts w:ascii="Times New Roman" w:hAnsi="Times New Roman" w:cs="Times New Roman"/>
          <w:sz w:val="22"/>
          <w:szCs w:val="22"/>
        </w:rPr>
      </w:pPr>
    </w:p>
    <w:p w14:paraId="05A82F4F" w14:textId="6B6FB6DA" w:rsidR="00FC046A" w:rsidRDefault="00FC046A" w:rsidP="007A4FA8">
      <w:pPr>
        <w:pStyle w:val="EndnoteText"/>
        <w:rPr>
          <w:rFonts w:ascii="Times New Roman" w:hAnsi="Times New Roman" w:cs="Times New Roman"/>
          <w:sz w:val="22"/>
          <w:szCs w:val="22"/>
        </w:rPr>
      </w:pPr>
      <w:r w:rsidRPr="00291CCE">
        <w:rPr>
          <w:rFonts w:ascii="Times New Roman" w:hAnsi="Times New Roman" w:cs="Times New Roman"/>
          <w:sz w:val="22"/>
          <w:szCs w:val="22"/>
        </w:rPr>
        <w:t xml:space="preserve">See </w:t>
      </w:r>
      <w:r>
        <w:rPr>
          <w:rFonts w:ascii="Times New Roman" w:hAnsi="Times New Roman" w:cs="Times New Roman"/>
          <w:sz w:val="22"/>
          <w:szCs w:val="22"/>
        </w:rPr>
        <w:t xml:space="preserve">also </w:t>
      </w:r>
      <w:r w:rsidRPr="00291CCE">
        <w:rPr>
          <w:rFonts w:ascii="Times New Roman" w:hAnsi="Times New Roman" w:cs="Times New Roman"/>
          <w:sz w:val="22"/>
          <w:szCs w:val="22"/>
        </w:rPr>
        <w:t xml:space="preserve">Exhibit </w:t>
      </w:r>
      <w:r>
        <w:rPr>
          <w:rFonts w:ascii="Times New Roman" w:hAnsi="Times New Roman" w:cs="Times New Roman"/>
          <w:sz w:val="22"/>
          <w:szCs w:val="22"/>
        </w:rPr>
        <w:t>125</w:t>
      </w:r>
      <w:r w:rsidRPr="00291CCE">
        <w:rPr>
          <w:rFonts w:ascii="Times New Roman" w:hAnsi="Times New Roman" w:cs="Times New Roman"/>
          <w:sz w:val="22"/>
          <w:szCs w:val="22"/>
        </w:rPr>
        <w:t>-</w:t>
      </w:r>
      <w:r>
        <w:rPr>
          <w:rFonts w:ascii="Times New Roman" w:hAnsi="Times New Roman" w:cs="Times New Roman"/>
          <w:sz w:val="22"/>
          <w:szCs w:val="22"/>
        </w:rPr>
        <w:t>P</w:t>
      </w:r>
      <w:r w:rsidRPr="00291CCE">
        <w:rPr>
          <w:rFonts w:ascii="Times New Roman" w:hAnsi="Times New Roman" w:cs="Times New Roman"/>
          <w:sz w:val="22"/>
          <w:szCs w:val="22"/>
        </w:rPr>
        <w:t xml:space="preserve"> (Reserve Casualty Corp., Audited Financial Statements and Notes, Statutory Basis,  from inception to </w:t>
      </w:r>
      <w:r w:rsidRPr="00BB7143">
        <w:rPr>
          <w:rFonts w:ascii="Times New Roman" w:hAnsi="Times New Roman" w:cs="Times New Roman"/>
          <w:b/>
          <w:sz w:val="22"/>
          <w:szCs w:val="22"/>
        </w:rPr>
        <w:t>December 31, 2009</w:t>
      </w:r>
      <w:r w:rsidRPr="00291CCE">
        <w:rPr>
          <w:rFonts w:ascii="Times New Roman" w:hAnsi="Times New Roman" w:cs="Times New Roman"/>
          <w:sz w:val="22"/>
          <w:szCs w:val="22"/>
        </w:rPr>
        <w:t>)</w:t>
      </w:r>
      <w:r>
        <w:rPr>
          <w:rFonts w:ascii="Times New Roman" w:hAnsi="Times New Roman" w:cs="Times New Roman"/>
          <w:sz w:val="22"/>
          <w:szCs w:val="22"/>
        </w:rPr>
        <w:t>, page 6, Note 2(c) entitled “Reinsurance Pool Program,” which states as follows: “</w:t>
      </w:r>
      <w:r w:rsidRPr="007A4FA8">
        <w:rPr>
          <w:rFonts w:ascii="Times New Roman" w:hAnsi="Times New Roman" w:cs="Times New Roman"/>
          <w:sz w:val="22"/>
          <w:szCs w:val="22"/>
        </w:rPr>
        <w:t>The Company participates in a reinsurance risk pooling program with other unrelated insurance companies (</w:t>
      </w:r>
      <w:r>
        <w:rPr>
          <w:rFonts w:ascii="Times New Roman" w:hAnsi="Times New Roman" w:cs="Times New Roman"/>
          <w:sz w:val="22"/>
          <w:szCs w:val="22"/>
        </w:rPr>
        <w:t>“</w:t>
      </w:r>
      <w:r w:rsidRPr="007A4FA8">
        <w:rPr>
          <w:rFonts w:ascii="Times New Roman" w:hAnsi="Times New Roman" w:cs="Times New Roman"/>
          <w:sz w:val="22"/>
          <w:szCs w:val="22"/>
        </w:rPr>
        <w:t>pool</w:t>
      </w:r>
      <w:r>
        <w:rPr>
          <w:rFonts w:ascii="Times New Roman" w:hAnsi="Times New Roman" w:cs="Times New Roman"/>
          <w:sz w:val="22"/>
          <w:szCs w:val="22"/>
        </w:rPr>
        <w:t xml:space="preserve"> </w:t>
      </w:r>
      <w:r w:rsidRPr="007A4FA8">
        <w:rPr>
          <w:rFonts w:ascii="Times New Roman" w:hAnsi="Times New Roman" w:cs="Times New Roman"/>
          <w:sz w:val="22"/>
          <w:szCs w:val="22"/>
        </w:rPr>
        <w:t>participants</w:t>
      </w:r>
      <w:r>
        <w:rPr>
          <w:rFonts w:ascii="Times New Roman" w:hAnsi="Times New Roman" w:cs="Times New Roman"/>
          <w:sz w:val="22"/>
          <w:szCs w:val="22"/>
        </w:rPr>
        <w:t>”</w:t>
      </w:r>
      <w:r w:rsidRPr="007A4FA8">
        <w:rPr>
          <w:rFonts w:ascii="Times New Roman" w:hAnsi="Times New Roman" w:cs="Times New Roman"/>
          <w:sz w:val="22"/>
          <w:szCs w:val="22"/>
        </w:rPr>
        <w:t xml:space="preserve">), </w:t>
      </w:r>
      <w:r w:rsidRPr="001010FE">
        <w:rPr>
          <w:rFonts w:ascii="Times New Roman" w:hAnsi="Times New Roman" w:cs="Times New Roman"/>
          <w:b/>
          <w:sz w:val="22"/>
          <w:szCs w:val="22"/>
        </w:rPr>
        <w:t>of which there were more than fifty in 2009</w:t>
      </w:r>
      <w:r w:rsidRPr="007A4FA8">
        <w:rPr>
          <w:rFonts w:ascii="Times New Roman" w:hAnsi="Times New Roman" w:cs="Times New Roman"/>
          <w:sz w:val="22"/>
          <w:szCs w:val="22"/>
        </w:rPr>
        <w:t>. This risk pool is operated by an unaffiliated regulated</w:t>
      </w:r>
      <w:r>
        <w:rPr>
          <w:rFonts w:ascii="Times New Roman" w:hAnsi="Times New Roman" w:cs="Times New Roman"/>
          <w:sz w:val="22"/>
          <w:szCs w:val="22"/>
        </w:rPr>
        <w:t xml:space="preserve"> </w:t>
      </w:r>
      <w:r w:rsidRPr="007A4FA8">
        <w:rPr>
          <w:rFonts w:ascii="Times New Roman" w:hAnsi="Times New Roman" w:cs="Times New Roman"/>
          <w:sz w:val="22"/>
          <w:szCs w:val="22"/>
        </w:rPr>
        <w:t>insurance corporation, PoolRe Insurance Corp. (</w:t>
      </w:r>
      <w:r>
        <w:rPr>
          <w:rFonts w:ascii="Times New Roman" w:hAnsi="Times New Roman" w:cs="Times New Roman"/>
          <w:sz w:val="22"/>
          <w:szCs w:val="22"/>
        </w:rPr>
        <w:t>“</w:t>
      </w:r>
      <w:r w:rsidRPr="007A4FA8">
        <w:rPr>
          <w:rFonts w:ascii="Times New Roman" w:hAnsi="Times New Roman" w:cs="Times New Roman"/>
          <w:sz w:val="22"/>
          <w:szCs w:val="22"/>
        </w:rPr>
        <w:t>PoolRe</w:t>
      </w:r>
      <w:r>
        <w:rPr>
          <w:rFonts w:ascii="Times New Roman" w:hAnsi="Times New Roman" w:cs="Times New Roman"/>
          <w:sz w:val="22"/>
          <w:szCs w:val="22"/>
        </w:rPr>
        <w:t>”</w:t>
      </w:r>
      <w:r w:rsidRPr="007A4FA8">
        <w:rPr>
          <w:rFonts w:ascii="Times New Roman" w:hAnsi="Times New Roman" w:cs="Times New Roman"/>
          <w:sz w:val="22"/>
          <w:szCs w:val="22"/>
        </w:rPr>
        <w:t>). Each pool participant has one or more affiliated</w:t>
      </w:r>
      <w:r>
        <w:rPr>
          <w:rFonts w:ascii="Times New Roman" w:hAnsi="Times New Roman" w:cs="Times New Roman"/>
          <w:sz w:val="22"/>
          <w:szCs w:val="22"/>
        </w:rPr>
        <w:t xml:space="preserve"> </w:t>
      </w:r>
      <w:r w:rsidRPr="007A4FA8">
        <w:rPr>
          <w:rFonts w:ascii="Times New Roman" w:hAnsi="Times New Roman" w:cs="Times New Roman"/>
          <w:sz w:val="22"/>
          <w:szCs w:val="22"/>
        </w:rPr>
        <w:t>operating entities for which it underwrites insurance coverage, which is generally similar casualty-type</w:t>
      </w:r>
      <w:r>
        <w:rPr>
          <w:rFonts w:ascii="Times New Roman" w:hAnsi="Times New Roman" w:cs="Times New Roman"/>
          <w:sz w:val="22"/>
          <w:szCs w:val="22"/>
        </w:rPr>
        <w:t xml:space="preserve"> </w:t>
      </w:r>
      <w:r w:rsidRPr="007A4FA8">
        <w:rPr>
          <w:rFonts w:ascii="Times New Roman" w:hAnsi="Times New Roman" w:cs="Times New Roman"/>
          <w:sz w:val="22"/>
          <w:szCs w:val="22"/>
        </w:rPr>
        <w:t>coverages. Poo</w:t>
      </w:r>
      <w:r>
        <w:rPr>
          <w:rFonts w:ascii="Times New Roman" w:hAnsi="Times New Roman" w:cs="Times New Roman"/>
          <w:sz w:val="22"/>
          <w:szCs w:val="22"/>
        </w:rPr>
        <w:t>l</w:t>
      </w:r>
      <w:r w:rsidRPr="007A4FA8">
        <w:rPr>
          <w:rFonts w:ascii="Times New Roman" w:hAnsi="Times New Roman" w:cs="Times New Roman"/>
          <w:sz w:val="22"/>
          <w:szCs w:val="22"/>
        </w:rPr>
        <w:t>Re participates in these policies through Stop Loss insurance contracts. In total, the Poo</w:t>
      </w:r>
      <w:r>
        <w:rPr>
          <w:rFonts w:ascii="Times New Roman" w:hAnsi="Times New Roman" w:cs="Times New Roman"/>
          <w:sz w:val="22"/>
          <w:szCs w:val="22"/>
        </w:rPr>
        <w:t>l</w:t>
      </w:r>
      <w:r w:rsidRPr="007A4FA8">
        <w:rPr>
          <w:rFonts w:ascii="Times New Roman" w:hAnsi="Times New Roman" w:cs="Times New Roman"/>
          <w:sz w:val="22"/>
          <w:szCs w:val="22"/>
        </w:rPr>
        <w:t>Re</w:t>
      </w:r>
      <w:r>
        <w:rPr>
          <w:rFonts w:ascii="Times New Roman" w:hAnsi="Times New Roman" w:cs="Times New Roman"/>
          <w:sz w:val="22"/>
          <w:szCs w:val="22"/>
        </w:rPr>
        <w:t xml:space="preserve"> </w:t>
      </w:r>
      <w:r w:rsidRPr="007A4FA8">
        <w:rPr>
          <w:rFonts w:ascii="Times New Roman" w:hAnsi="Times New Roman" w:cs="Times New Roman"/>
          <w:sz w:val="22"/>
          <w:szCs w:val="22"/>
        </w:rPr>
        <w:t xml:space="preserve">sponsored risk pool comprises </w:t>
      </w:r>
      <w:r w:rsidRPr="00CB5869">
        <w:rPr>
          <w:rFonts w:ascii="Times New Roman" w:hAnsi="Times New Roman" w:cs="Times New Roman"/>
          <w:b/>
          <w:sz w:val="22"/>
          <w:szCs w:val="22"/>
        </w:rPr>
        <w:t>more than 500 Stop Loss insurance contracts for more than 150 insureds</w:t>
      </w:r>
      <w:r w:rsidRPr="007A4FA8">
        <w:rPr>
          <w:rFonts w:ascii="Times New Roman" w:hAnsi="Times New Roman" w:cs="Times New Roman"/>
          <w:sz w:val="22"/>
          <w:szCs w:val="22"/>
        </w:rPr>
        <w:t>, which</w:t>
      </w:r>
      <w:r>
        <w:rPr>
          <w:rFonts w:ascii="Times New Roman" w:hAnsi="Times New Roman" w:cs="Times New Roman"/>
          <w:sz w:val="22"/>
          <w:szCs w:val="22"/>
        </w:rPr>
        <w:t xml:space="preserve"> </w:t>
      </w:r>
      <w:r w:rsidRPr="007A4FA8">
        <w:rPr>
          <w:rFonts w:ascii="Times New Roman" w:hAnsi="Times New Roman" w:cs="Times New Roman"/>
          <w:sz w:val="22"/>
          <w:szCs w:val="22"/>
        </w:rPr>
        <w:t>includes policies issued by the Company as well as those issued by the other pool participants, all of which are</w:t>
      </w:r>
      <w:r>
        <w:rPr>
          <w:rFonts w:ascii="Times New Roman" w:hAnsi="Times New Roman" w:cs="Times New Roman"/>
          <w:sz w:val="22"/>
          <w:szCs w:val="22"/>
        </w:rPr>
        <w:t xml:space="preserve"> </w:t>
      </w:r>
      <w:r w:rsidRPr="007A4FA8">
        <w:rPr>
          <w:rFonts w:ascii="Times New Roman" w:hAnsi="Times New Roman" w:cs="Times New Roman"/>
          <w:sz w:val="22"/>
          <w:szCs w:val="22"/>
        </w:rPr>
        <w:t>unrelated insurance companies.</w:t>
      </w:r>
      <w:r>
        <w:rPr>
          <w:rFonts w:ascii="Times New Roman" w:hAnsi="Times New Roman" w:cs="Times New Roman"/>
          <w:sz w:val="22"/>
          <w:szCs w:val="22"/>
        </w:rPr>
        <w:t xml:space="preserve">”  </w:t>
      </w:r>
      <w:r w:rsidRPr="00BB7143">
        <w:rPr>
          <w:rFonts w:ascii="Times New Roman" w:hAnsi="Times New Roman" w:cs="Times New Roman"/>
          <w:sz w:val="22"/>
          <w:szCs w:val="22"/>
        </w:rPr>
        <w:t>(Emphasis added)</w:t>
      </w:r>
      <w:r>
        <w:rPr>
          <w:rFonts w:ascii="Times New Roman" w:hAnsi="Times New Roman" w:cs="Times New Roman"/>
          <w:sz w:val="22"/>
          <w:szCs w:val="22"/>
        </w:rPr>
        <w:t>.</w:t>
      </w:r>
    </w:p>
    <w:p w14:paraId="26A40BC0" w14:textId="77777777" w:rsidR="00FC046A" w:rsidRDefault="00FC046A">
      <w:pPr>
        <w:pStyle w:val="EndnoteText"/>
        <w:rPr>
          <w:rFonts w:ascii="Times New Roman" w:hAnsi="Times New Roman" w:cs="Times New Roman"/>
          <w:sz w:val="22"/>
          <w:szCs w:val="22"/>
        </w:rPr>
      </w:pPr>
    </w:p>
    <w:p w14:paraId="53B65D7D" w14:textId="261987CB" w:rsidR="00FC046A" w:rsidRDefault="00FC046A">
      <w:pPr>
        <w:pStyle w:val="EndnoteText"/>
        <w:rPr>
          <w:rFonts w:ascii="Times New Roman" w:hAnsi="Times New Roman" w:cs="Times New Roman"/>
          <w:sz w:val="22"/>
          <w:szCs w:val="22"/>
        </w:rPr>
      </w:pPr>
      <w:r w:rsidRPr="002612DE">
        <w:rPr>
          <w:rFonts w:ascii="Times New Roman" w:hAnsi="Times New Roman" w:cs="Times New Roman"/>
          <w:sz w:val="22"/>
          <w:szCs w:val="22"/>
        </w:rPr>
        <w:t xml:space="preserve">See </w:t>
      </w:r>
      <w:r>
        <w:rPr>
          <w:rFonts w:ascii="Times New Roman" w:hAnsi="Times New Roman" w:cs="Times New Roman"/>
          <w:sz w:val="22"/>
          <w:szCs w:val="22"/>
        </w:rPr>
        <w:t xml:space="preserve">also </w:t>
      </w:r>
      <w:r w:rsidRPr="002612DE">
        <w:rPr>
          <w:rFonts w:ascii="Times New Roman" w:hAnsi="Times New Roman" w:cs="Times New Roman"/>
          <w:sz w:val="22"/>
          <w:szCs w:val="22"/>
        </w:rPr>
        <w:t>Exhibit 105-R (Expert Witness Report Request from The Feldman Law Firm to Dr. Neil A. Doherty, dated June 6, 2013), page 4, Table A: Summary of Risk Pool for 2008.</w:t>
      </w:r>
      <w:r>
        <w:rPr>
          <w:rFonts w:ascii="Times New Roman" w:hAnsi="Times New Roman" w:cs="Times New Roman"/>
          <w:sz w:val="22"/>
          <w:szCs w:val="22"/>
        </w:rPr>
        <w:t xml:space="preserve">  “</w:t>
      </w:r>
      <w:r w:rsidRPr="00B35730">
        <w:rPr>
          <w:rFonts w:ascii="Times New Roman" w:hAnsi="Times New Roman" w:cs="Times New Roman"/>
          <w:b/>
          <w:sz w:val="22"/>
          <w:szCs w:val="22"/>
        </w:rPr>
        <w:t>In 2008</w:t>
      </w:r>
      <w:r w:rsidRPr="006F6E9C">
        <w:rPr>
          <w:rFonts w:ascii="Times New Roman" w:hAnsi="Times New Roman" w:cs="Times New Roman"/>
          <w:sz w:val="22"/>
          <w:szCs w:val="22"/>
        </w:rPr>
        <w:t>, PoolRe</w:t>
      </w:r>
      <w:r>
        <w:rPr>
          <w:rFonts w:ascii="Times New Roman" w:hAnsi="Times New Roman" w:cs="Times New Roman"/>
          <w:sz w:val="22"/>
          <w:szCs w:val="22"/>
        </w:rPr>
        <w:t xml:space="preserve"> issued </w:t>
      </w:r>
      <w:r w:rsidRPr="006F6E9C">
        <w:rPr>
          <w:rFonts w:ascii="Times New Roman" w:hAnsi="Times New Roman" w:cs="Times New Roman"/>
          <w:sz w:val="22"/>
          <w:szCs w:val="22"/>
        </w:rPr>
        <w:t xml:space="preserve">stop loss endorsements on </w:t>
      </w:r>
      <w:r w:rsidRPr="002612DE">
        <w:rPr>
          <w:rFonts w:ascii="Times New Roman" w:hAnsi="Times New Roman" w:cs="Times New Roman"/>
          <w:b/>
          <w:sz w:val="22"/>
          <w:szCs w:val="22"/>
        </w:rPr>
        <w:t>429 stop loss insurance policies to 155 named insureds</w:t>
      </w:r>
      <w:r>
        <w:rPr>
          <w:rFonts w:ascii="Times New Roman" w:hAnsi="Times New Roman" w:cs="Times New Roman"/>
          <w:sz w:val="22"/>
          <w:szCs w:val="22"/>
        </w:rPr>
        <w:t xml:space="preserve"> and </w:t>
      </w:r>
      <w:r w:rsidRPr="006F6E9C">
        <w:rPr>
          <w:rFonts w:ascii="Times New Roman" w:hAnsi="Times New Roman" w:cs="Times New Roman"/>
          <w:sz w:val="22"/>
          <w:szCs w:val="22"/>
        </w:rPr>
        <w:t xml:space="preserve">reinsured (retroceded) for a premium paid to each of </w:t>
      </w:r>
      <w:r w:rsidRPr="008D012E">
        <w:rPr>
          <w:rFonts w:ascii="Times New Roman" w:hAnsi="Times New Roman" w:cs="Times New Roman"/>
          <w:b/>
          <w:sz w:val="22"/>
          <w:szCs w:val="22"/>
        </w:rPr>
        <w:t>44 participating reinsurers</w:t>
      </w:r>
      <w:r w:rsidRPr="006F6E9C">
        <w:rPr>
          <w:rFonts w:ascii="Times New Roman" w:hAnsi="Times New Roman" w:cs="Times New Roman"/>
          <w:sz w:val="22"/>
          <w:szCs w:val="22"/>
        </w:rPr>
        <w:t>, which novated the risks from PoolRe to the retroceded insurers.</w:t>
      </w:r>
      <w:r>
        <w:rPr>
          <w:rFonts w:ascii="Times New Roman" w:hAnsi="Times New Roman" w:cs="Times New Roman"/>
          <w:sz w:val="22"/>
          <w:szCs w:val="22"/>
        </w:rPr>
        <w:t xml:space="preserve">”  </w:t>
      </w:r>
      <w:r w:rsidRPr="00BB7143">
        <w:rPr>
          <w:rFonts w:ascii="Times New Roman" w:hAnsi="Times New Roman" w:cs="Times New Roman"/>
          <w:sz w:val="22"/>
          <w:szCs w:val="22"/>
        </w:rPr>
        <w:t>(Emphasis added)</w:t>
      </w:r>
      <w:r>
        <w:rPr>
          <w:rFonts w:ascii="Times New Roman" w:hAnsi="Times New Roman" w:cs="Times New Roman"/>
          <w:sz w:val="22"/>
          <w:szCs w:val="22"/>
        </w:rPr>
        <w:t>.</w:t>
      </w:r>
    </w:p>
    <w:p w14:paraId="09A3A1EE" w14:textId="77777777" w:rsidR="00FC046A" w:rsidRPr="00A07453" w:rsidRDefault="00FC046A">
      <w:pPr>
        <w:pStyle w:val="EndnoteText"/>
        <w:rPr>
          <w:rFonts w:ascii="Times New Roman" w:hAnsi="Times New Roman" w:cs="Times New Roman"/>
          <w:sz w:val="22"/>
          <w:szCs w:val="22"/>
        </w:rPr>
      </w:pPr>
    </w:p>
  </w:endnote>
  <w:endnote w:id="106">
    <w:p w14:paraId="162D6FA3" w14:textId="77777777" w:rsidR="00FC046A" w:rsidRDefault="00FC046A">
      <w:pPr>
        <w:pStyle w:val="EndnoteText"/>
        <w:rPr>
          <w:rFonts w:ascii="Times New Roman" w:hAnsi="Times New Roman" w:cs="Times New Roman"/>
          <w:sz w:val="22"/>
          <w:szCs w:val="22"/>
        </w:rPr>
      </w:pPr>
      <w:r w:rsidRPr="00A07453">
        <w:rPr>
          <w:rStyle w:val="EndnoteReference"/>
          <w:rFonts w:ascii="Times New Roman" w:hAnsi="Times New Roman" w:cs="Times New Roman"/>
          <w:sz w:val="22"/>
          <w:szCs w:val="22"/>
        </w:rPr>
        <w:endnoteRef/>
      </w:r>
      <w:r w:rsidRPr="00A07453">
        <w:rPr>
          <w:rFonts w:ascii="Times New Roman" w:hAnsi="Times New Roman" w:cs="Times New Roman"/>
          <w:sz w:val="22"/>
          <w:szCs w:val="22"/>
        </w:rPr>
        <w:t xml:space="preserve"> </w:t>
      </w:r>
      <w:r w:rsidRPr="00A07453">
        <w:rPr>
          <w:rFonts w:ascii="Times New Roman" w:hAnsi="Times New Roman" w:cs="Times New Roman"/>
          <w:i/>
          <w:sz w:val="22"/>
          <w:szCs w:val="22"/>
        </w:rPr>
        <w:t>Id</w:t>
      </w:r>
      <w:r w:rsidRPr="00A07453">
        <w:rPr>
          <w:rFonts w:ascii="Times New Roman" w:hAnsi="Times New Roman" w:cs="Times New Roman"/>
          <w:sz w:val="22"/>
          <w:szCs w:val="22"/>
        </w:rPr>
        <w:t>.</w:t>
      </w:r>
    </w:p>
    <w:p w14:paraId="682070EB" w14:textId="77777777" w:rsidR="00FC046A" w:rsidRPr="00A07453" w:rsidRDefault="00FC046A">
      <w:pPr>
        <w:pStyle w:val="EndnoteText"/>
        <w:rPr>
          <w:rFonts w:ascii="Times New Roman" w:hAnsi="Times New Roman" w:cs="Times New Roman"/>
          <w:sz w:val="22"/>
          <w:szCs w:val="22"/>
        </w:rPr>
      </w:pPr>
    </w:p>
  </w:endnote>
  <w:endnote w:id="107">
    <w:p w14:paraId="3F98C3C2" w14:textId="7FB66997" w:rsidR="00FC046A" w:rsidRDefault="00FC046A" w:rsidP="0066033D">
      <w:pPr>
        <w:pStyle w:val="EndnoteText"/>
        <w:rPr>
          <w:rFonts w:ascii="Times New Roman" w:hAnsi="Times New Roman" w:cs="Times New Roman"/>
          <w:sz w:val="22"/>
          <w:szCs w:val="22"/>
        </w:rPr>
      </w:pPr>
      <w:r w:rsidRPr="00681E73">
        <w:rPr>
          <w:rStyle w:val="EndnoteReference"/>
          <w:rFonts w:ascii="Times New Roman" w:hAnsi="Times New Roman" w:cs="Times New Roman"/>
          <w:sz w:val="22"/>
          <w:szCs w:val="22"/>
        </w:rPr>
        <w:endnoteRef/>
      </w:r>
      <w:r w:rsidRPr="00681E73">
        <w:rPr>
          <w:rFonts w:ascii="Times New Roman" w:hAnsi="Times New Roman" w:cs="Times New Roman"/>
          <w:sz w:val="22"/>
          <w:szCs w:val="22"/>
        </w:rPr>
        <w:t xml:space="preserve"> See testimony of </w:t>
      </w:r>
      <w:r>
        <w:rPr>
          <w:rFonts w:ascii="Times New Roman" w:hAnsi="Times New Roman" w:cs="Times New Roman"/>
          <w:sz w:val="22"/>
          <w:szCs w:val="22"/>
        </w:rPr>
        <w:t>Bob Snyder</w:t>
      </w:r>
      <w:r w:rsidRPr="00681E73">
        <w:rPr>
          <w:rFonts w:ascii="Times New Roman" w:hAnsi="Times New Roman" w:cs="Times New Roman"/>
          <w:sz w:val="22"/>
          <w:szCs w:val="22"/>
        </w:rPr>
        <w:t xml:space="preserve">, </w:t>
      </w:r>
      <w:r>
        <w:rPr>
          <w:rFonts w:ascii="Times New Roman" w:hAnsi="Times New Roman" w:cs="Times New Roman"/>
          <w:sz w:val="22"/>
          <w:szCs w:val="22"/>
        </w:rPr>
        <w:t>Tr.</w:t>
      </w:r>
      <w:r w:rsidRPr="00681E73">
        <w:rPr>
          <w:rFonts w:ascii="Times New Roman" w:hAnsi="Times New Roman" w:cs="Times New Roman"/>
          <w:sz w:val="22"/>
          <w:szCs w:val="22"/>
        </w:rPr>
        <w:t xml:space="preserve"> at </w:t>
      </w:r>
      <w:r>
        <w:rPr>
          <w:rFonts w:ascii="Times New Roman" w:hAnsi="Times New Roman" w:cs="Times New Roman"/>
          <w:sz w:val="22"/>
          <w:szCs w:val="22"/>
        </w:rPr>
        <w:t>51-52.</w:t>
      </w:r>
      <w:r w:rsidRPr="00DB653E">
        <w:t xml:space="preserve"> </w:t>
      </w:r>
      <w:r w:rsidRPr="00DB653E">
        <w:rPr>
          <w:rFonts w:ascii="Times New Roman" w:hAnsi="Times New Roman" w:cs="Times New Roman"/>
          <w:sz w:val="22"/>
          <w:szCs w:val="22"/>
        </w:rPr>
        <w:t xml:space="preserve">See </w:t>
      </w:r>
      <w:r>
        <w:rPr>
          <w:rFonts w:ascii="Times New Roman" w:hAnsi="Times New Roman" w:cs="Times New Roman"/>
          <w:sz w:val="22"/>
          <w:szCs w:val="22"/>
        </w:rPr>
        <w:t xml:space="preserve">also </w:t>
      </w:r>
      <w:r w:rsidRPr="00DB653E">
        <w:rPr>
          <w:rFonts w:ascii="Times New Roman" w:hAnsi="Times New Roman" w:cs="Times New Roman"/>
          <w:sz w:val="22"/>
          <w:szCs w:val="22"/>
        </w:rPr>
        <w:t xml:space="preserve">testimony of Lance McNeel, </w:t>
      </w:r>
      <w:r>
        <w:rPr>
          <w:rFonts w:ascii="Times New Roman" w:hAnsi="Times New Roman" w:cs="Times New Roman"/>
          <w:sz w:val="22"/>
          <w:szCs w:val="22"/>
        </w:rPr>
        <w:t>Tr.</w:t>
      </w:r>
      <w:r w:rsidRPr="00DB653E">
        <w:rPr>
          <w:rFonts w:ascii="Times New Roman" w:hAnsi="Times New Roman" w:cs="Times New Roman"/>
          <w:sz w:val="22"/>
          <w:szCs w:val="22"/>
        </w:rPr>
        <w:t xml:space="preserve"> at 382</w:t>
      </w:r>
      <w:r>
        <w:rPr>
          <w:rFonts w:ascii="Times New Roman" w:hAnsi="Times New Roman" w:cs="Times New Roman"/>
          <w:sz w:val="22"/>
          <w:szCs w:val="22"/>
        </w:rPr>
        <w:t xml:space="preserve">.  Both of these witnesses testified that PoolRe was a licensed insurance company (domiciled in the British Virgin Islands and later domiciled in Anguilla) during all years in issue. The government never even controverted this position, yet the Court erroneously implied </w:t>
      </w:r>
      <w:r w:rsidRPr="003C5A6C">
        <w:rPr>
          <w:rFonts w:ascii="Times New Roman" w:hAnsi="Times New Roman" w:cs="Times New Roman"/>
          <w:sz w:val="22"/>
          <w:szCs w:val="22"/>
        </w:rPr>
        <w:t>that, for 2008, there was no evidence of PoolRe’s licensing.</w:t>
      </w:r>
      <w:r>
        <w:rPr>
          <w:rFonts w:ascii="Times New Roman" w:hAnsi="Times New Roman" w:cs="Times New Roman"/>
          <w:sz w:val="22"/>
          <w:szCs w:val="22"/>
        </w:rPr>
        <w:t xml:space="preserve">  </w:t>
      </w:r>
      <w:r w:rsidRPr="006A6BE7">
        <w:rPr>
          <w:rFonts w:ascii="Times New Roman" w:hAnsi="Times New Roman" w:cs="Times New Roman"/>
          <w:sz w:val="22"/>
          <w:szCs w:val="22"/>
        </w:rPr>
        <w:t>See Opinion at 44-45.</w:t>
      </w:r>
    </w:p>
    <w:p w14:paraId="629AC1E4" w14:textId="77777777" w:rsidR="00FC046A" w:rsidRPr="00503B8B" w:rsidRDefault="00FC046A" w:rsidP="0066033D">
      <w:pPr>
        <w:pStyle w:val="EndnoteText"/>
        <w:rPr>
          <w:rFonts w:ascii="Times New Roman" w:hAnsi="Times New Roman" w:cs="Times New Roman"/>
          <w:sz w:val="22"/>
          <w:szCs w:val="22"/>
        </w:rPr>
      </w:pPr>
    </w:p>
  </w:endnote>
  <w:endnote w:id="108">
    <w:p w14:paraId="0A74D306" w14:textId="677A37BB" w:rsidR="00FC046A" w:rsidRDefault="00FC046A">
      <w:pPr>
        <w:pStyle w:val="EndnoteText"/>
        <w:rPr>
          <w:rFonts w:ascii="Times New Roman" w:hAnsi="Times New Roman" w:cs="Times New Roman"/>
          <w:sz w:val="22"/>
          <w:szCs w:val="22"/>
        </w:rPr>
      </w:pPr>
      <w:r w:rsidRPr="00503B8B">
        <w:rPr>
          <w:rStyle w:val="EndnoteReference"/>
          <w:rFonts w:ascii="Times New Roman" w:hAnsi="Times New Roman" w:cs="Times New Roman"/>
          <w:sz w:val="22"/>
          <w:szCs w:val="22"/>
        </w:rPr>
        <w:endnoteRef/>
      </w:r>
      <w:r w:rsidRPr="00503B8B">
        <w:rPr>
          <w:rFonts w:ascii="Times New Roman" w:hAnsi="Times New Roman" w:cs="Times New Roman"/>
          <w:sz w:val="22"/>
          <w:szCs w:val="22"/>
        </w:rPr>
        <w:t xml:space="preserve"> </w:t>
      </w:r>
      <w:r w:rsidRPr="00B738FD">
        <w:rPr>
          <w:rFonts w:ascii="Times New Roman" w:hAnsi="Times New Roman" w:cs="Times New Roman"/>
          <w:i/>
          <w:sz w:val="22"/>
          <w:szCs w:val="22"/>
        </w:rPr>
        <w:t>Id</w:t>
      </w:r>
      <w:r>
        <w:rPr>
          <w:rFonts w:ascii="Times New Roman" w:hAnsi="Times New Roman" w:cs="Times New Roman"/>
          <w:sz w:val="22"/>
          <w:szCs w:val="22"/>
        </w:rPr>
        <w:t xml:space="preserve">. </w:t>
      </w:r>
      <w:r w:rsidRPr="006A6BE7">
        <w:rPr>
          <w:rFonts w:ascii="Times New Roman" w:hAnsi="Times New Roman" w:cs="Times New Roman"/>
          <w:sz w:val="22"/>
          <w:szCs w:val="22"/>
        </w:rPr>
        <w:t>See Opinion at 44-45.</w:t>
      </w:r>
    </w:p>
    <w:p w14:paraId="0ADD5107" w14:textId="77777777" w:rsidR="00FC046A" w:rsidRPr="00503B8B" w:rsidRDefault="00FC046A">
      <w:pPr>
        <w:pStyle w:val="EndnoteText"/>
        <w:rPr>
          <w:rFonts w:ascii="Times New Roman" w:hAnsi="Times New Roman" w:cs="Times New Roman"/>
          <w:sz w:val="22"/>
          <w:szCs w:val="22"/>
        </w:rPr>
      </w:pPr>
    </w:p>
  </w:endnote>
  <w:endnote w:id="109">
    <w:p w14:paraId="40894BC5" w14:textId="24A8D59A" w:rsidR="00FC046A" w:rsidRDefault="00FC046A">
      <w:pPr>
        <w:pStyle w:val="EndnoteText"/>
        <w:rPr>
          <w:rFonts w:ascii="Times New Roman" w:hAnsi="Times New Roman" w:cs="Times New Roman"/>
          <w:sz w:val="22"/>
          <w:szCs w:val="22"/>
        </w:rPr>
      </w:pPr>
      <w:r w:rsidRPr="00837717">
        <w:rPr>
          <w:rStyle w:val="EndnoteReference"/>
          <w:rFonts w:ascii="Times New Roman" w:hAnsi="Times New Roman" w:cs="Times New Roman"/>
          <w:sz w:val="22"/>
          <w:szCs w:val="22"/>
        </w:rPr>
        <w:endnoteRef/>
      </w:r>
      <w:r w:rsidRPr="00837717">
        <w:rPr>
          <w:rFonts w:ascii="Times New Roman" w:hAnsi="Times New Roman" w:cs="Times New Roman"/>
          <w:sz w:val="22"/>
          <w:szCs w:val="22"/>
        </w:rPr>
        <w:t xml:space="preserve"> </w:t>
      </w:r>
      <w:r>
        <w:rPr>
          <w:rFonts w:ascii="Times New Roman" w:hAnsi="Times New Roman" w:cs="Times New Roman"/>
          <w:sz w:val="22"/>
          <w:szCs w:val="22"/>
        </w:rPr>
        <w:t>See</w:t>
      </w:r>
      <w:r w:rsidRPr="00D82782">
        <w:rPr>
          <w:rFonts w:ascii="Times New Roman" w:hAnsi="Times New Roman" w:cs="Times New Roman"/>
          <w:sz w:val="22"/>
          <w:szCs w:val="22"/>
        </w:rPr>
        <w:t xml:space="preserve"> </w:t>
      </w:r>
      <w:r>
        <w:rPr>
          <w:rFonts w:ascii="Times New Roman" w:hAnsi="Times New Roman" w:cs="Times New Roman"/>
          <w:sz w:val="22"/>
          <w:szCs w:val="22"/>
        </w:rPr>
        <w:t>Opinion at 45-46.  The Court stated at 45: “</w:t>
      </w:r>
      <w:r w:rsidRPr="006C54E0">
        <w:rPr>
          <w:rFonts w:ascii="Times New Roman" w:hAnsi="Times New Roman" w:cs="Times New Roman"/>
          <w:sz w:val="22"/>
          <w:szCs w:val="22"/>
        </w:rPr>
        <w:t>We conclude that the facts surrounding Reserve's quota share policies with PoolRe establish that those agreements were not bona fide insurance agreements.</w:t>
      </w:r>
      <w:r>
        <w:rPr>
          <w:rFonts w:ascii="Times New Roman" w:hAnsi="Times New Roman" w:cs="Times New Roman"/>
          <w:sz w:val="22"/>
          <w:szCs w:val="22"/>
        </w:rPr>
        <w:t>”</w:t>
      </w:r>
    </w:p>
    <w:p w14:paraId="6E2CA838" w14:textId="77777777" w:rsidR="00FC046A" w:rsidRPr="003E7FE3" w:rsidRDefault="00FC046A">
      <w:pPr>
        <w:pStyle w:val="EndnoteText"/>
        <w:rPr>
          <w:rFonts w:ascii="Times New Roman" w:hAnsi="Times New Roman" w:cs="Times New Roman"/>
          <w:sz w:val="22"/>
          <w:szCs w:val="22"/>
        </w:rPr>
      </w:pPr>
    </w:p>
  </w:endnote>
  <w:endnote w:id="110">
    <w:p w14:paraId="423E5C83" w14:textId="0AEEBEA8" w:rsidR="00FC046A" w:rsidRDefault="00FC046A">
      <w:pPr>
        <w:pStyle w:val="EndnoteText"/>
        <w:rPr>
          <w:rFonts w:ascii="Times New Roman" w:hAnsi="Times New Roman" w:cs="Times New Roman"/>
          <w:sz w:val="22"/>
          <w:szCs w:val="22"/>
        </w:rPr>
      </w:pPr>
      <w:r w:rsidRPr="003E7FE3">
        <w:rPr>
          <w:rStyle w:val="EndnoteReference"/>
          <w:rFonts w:ascii="Times New Roman" w:hAnsi="Times New Roman" w:cs="Times New Roman"/>
          <w:sz w:val="22"/>
          <w:szCs w:val="22"/>
        </w:rPr>
        <w:endnoteRef/>
      </w:r>
      <w:r w:rsidRPr="003E7FE3">
        <w:rPr>
          <w:rFonts w:ascii="Times New Roman" w:hAnsi="Times New Roman" w:cs="Times New Roman"/>
          <w:sz w:val="22"/>
          <w:szCs w:val="22"/>
        </w:rPr>
        <w:t xml:space="preserve"> </w:t>
      </w:r>
      <w:r>
        <w:rPr>
          <w:rFonts w:ascii="Times New Roman" w:hAnsi="Times New Roman" w:cs="Times New Roman"/>
          <w:sz w:val="22"/>
          <w:szCs w:val="22"/>
        </w:rPr>
        <w:t>See</w:t>
      </w:r>
      <w:r w:rsidRPr="00D82782">
        <w:rPr>
          <w:rFonts w:ascii="Times New Roman" w:hAnsi="Times New Roman" w:cs="Times New Roman"/>
          <w:sz w:val="22"/>
          <w:szCs w:val="22"/>
        </w:rPr>
        <w:t xml:space="preserve"> </w:t>
      </w:r>
      <w:r>
        <w:rPr>
          <w:rFonts w:ascii="Times New Roman" w:hAnsi="Times New Roman" w:cs="Times New Roman"/>
          <w:sz w:val="22"/>
          <w:szCs w:val="22"/>
        </w:rPr>
        <w:t>Opinion at 38: “</w:t>
      </w:r>
      <w:r w:rsidRPr="00114B14">
        <w:rPr>
          <w:rFonts w:ascii="Times New Roman" w:hAnsi="Times New Roman" w:cs="Times New Roman"/>
          <w:sz w:val="22"/>
          <w:szCs w:val="22"/>
        </w:rPr>
        <w:t xml:space="preserve">Before we can determine whether Reserve effectively distributed risk through these agreements, we must determine whether PoolRe was a bona fide insurance company. See </w:t>
      </w:r>
      <w:r w:rsidRPr="004F3FC7">
        <w:rPr>
          <w:rFonts w:ascii="Times New Roman" w:hAnsi="Times New Roman" w:cs="Times New Roman"/>
          <w:sz w:val="22"/>
          <w:szCs w:val="22"/>
          <w:u w:val="single"/>
        </w:rPr>
        <w:t>Avrahami v. Commissioner</w:t>
      </w:r>
      <w:r w:rsidRPr="00114B14">
        <w:rPr>
          <w:rFonts w:ascii="Times New Roman" w:hAnsi="Times New Roman" w:cs="Times New Roman"/>
          <w:sz w:val="22"/>
          <w:szCs w:val="22"/>
        </w:rPr>
        <w:t>, 149 T.C. at_ (slip op. at 66-67).</w:t>
      </w:r>
      <w:r>
        <w:rPr>
          <w:rFonts w:ascii="Times New Roman" w:hAnsi="Times New Roman" w:cs="Times New Roman"/>
          <w:sz w:val="22"/>
          <w:szCs w:val="22"/>
        </w:rPr>
        <w:t>”</w:t>
      </w:r>
    </w:p>
    <w:p w14:paraId="6D6FE448" w14:textId="77777777" w:rsidR="00FC046A" w:rsidRPr="00347F74" w:rsidRDefault="00FC046A">
      <w:pPr>
        <w:pStyle w:val="EndnoteText"/>
        <w:rPr>
          <w:rFonts w:ascii="Times New Roman" w:hAnsi="Times New Roman" w:cs="Times New Roman"/>
          <w:sz w:val="22"/>
          <w:szCs w:val="22"/>
        </w:rPr>
      </w:pPr>
    </w:p>
  </w:endnote>
  <w:endnote w:id="111">
    <w:p w14:paraId="5EA9C014" w14:textId="288E4E9A" w:rsidR="00FC046A" w:rsidRPr="007C2541" w:rsidRDefault="00FC046A" w:rsidP="00874DFB">
      <w:pPr>
        <w:pStyle w:val="EndnoteText"/>
        <w:rPr>
          <w:rFonts w:ascii="Times New Roman" w:hAnsi="Times New Roman" w:cs="Times New Roman"/>
          <w:sz w:val="22"/>
          <w:szCs w:val="22"/>
        </w:rPr>
      </w:pPr>
      <w:r>
        <w:rPr>
          <w:rStyle w:val="EndnoteReference"/>
        </w:rPr>
        <w:endnoteRef/>
      </w:r>
      <w:r>
        <w:t xml:space="preserve"> </w:t>
      </w:r>
      <w:r w:rsidRPr="00432693">
        <w:rPr>
          <w:rFonts w:ascii="Times New Roman" w:hAnsi="Times New Roman" w:cs="Times New Roman"/>
          <w:sz w:val="22"/>
          <w:szCs w:val="22"/>
        </w:rPr>
        <w:t xml:space="preserve">Additionally, in September 2005, the IRS had issued a ruling to PoolRe (shortly after its </w:t>
      </w:r>
      <w:r>
        <w:rPr>
          <w:rFonts w:ascii="Times New Roman" w:hAnsi="Times New Roman" w:cs="Times New Roman"/>
          <w:sz w:val="22"/>
          <w:szCs w:val="22"/>
        </w:rPr>
        <w:t xml:space="preserve">April 2005 </w:t>
      </w:r>
      <w:r w:rsidRPr="00432693">
        <w:rPr>
          <w:rFonts w:ascii="Times New Roman" w:hAnsi="Times New Roman" w:cs="Times New Roman"/>
          <w:sz w:val="22"/>
          <w:szCs w:val="22"/>
        </w:rPr>
        <w:t xml:space="preserve">name change </w:t>
      </w:r>
      <w:r w:rsidRPr="007C2541">
        <w:rPr>
          <w:rFonts w:ascii="Times New Roman" w:hAnsi="Times New Roman" w:cs="Times New Roman"/>
          <w:sz w:val="22"/>
          <w:szCs w:val="22"/>
        </w:rPr>
        <w:t>from “CNC Property &amp; Casualty Insurance Corporation,”) concluding that PoolRe satisfied the requisites as an insurer for purposes of Section 501(c)(15) under the Internal Revenue Code.  In that ruling the IRS stated as follows:</w:t>
      </w:r>
    </w:p>
    <w:p w14:paraId="30C86A34" w14:textId="77777777" w:rsidR="00FC046A" w:rsidRPr="007C2541" w:rsidRDefault="00FC046A" w:rsidP="00874DFB">
      <w:pPr>
        <w:pStyle w:val="EndnoteText"/>
        <w:rPr>
          <w:rFonts w:ascii="Times New Roman" w:hAnsi="Times New Roman" w:cs="Times New Roman"/>
          <w:sz w:val="22"/>
          <w:szCs w:val="22"/>
        </w:rPr>
      </w:pPr>
    </w:p>
    <w:p w14:paraId="35284178" w14:textId="77777777" w:rsidR="00FC046A" w:rsidRDefault="00FC046A" w:rsidP="00874DFB">
      <w:pPr>
        <w:pStyle w:val="EndnoteText"/>
        <w:rPr>
          <w:rFonts w:ascii="Times New Roman" w:hAnsi="Times New Roman" w:cs="Times New Roman"/>
          <w:b/>
          <w:i/>
          <w:sz w:val="22"/>
          <w:szCs w:val="22"/>
        </w:rPr>
      </w:pPr>
      <w:r w:rsidRPr="007C2541">
        <w:rPr>
          <w:rFonts w:ascii="Times New Roman" w:hAnsi="Times New Roman" w:cs="Times New Roman"/>
          <w:sz w:val="22"/>
          <w:szCs w:val="22"/>
        </w:rPr>
        <w:t>“</w:t>
      </w:r>
      <w:r w:rsidRPr="00A330F2">
        <w:rPr>
          <w:rFonts w:ascii="Times New Roman" w:hAnsi="Times New Roman" w:cs="Times New Roman"/>
          <w:b/>
          <w:i/>
          <w:sz w:val="22"/>
          <w:szCs w:val="22"/>
        </w:rPr>
        <w:t>We are pleased to inform you that upon review of your application for tax exempt status we have determined that you are exempt from Federal income. tax under section 501{c)(15) of the Internal Revenue Code. Because this letter could help resolve any questions regarding your exempt status, you should keep it in your permanent record</w:t>
      </w:r>
      <w:r>
        <w:rPr>
          <w:rFonts w:ascii="Times New Roman" w:hAnsi="Times New Roman" w:cs="Times New Roman"/>
          <w:b/>
          <w:i/>
          <w:sz w:val="22"/>
          <w:szCs w:val="22"/>
        </w:rPr>
        <w:t>s.</w:t>
      </w:r>
    </w:p>
    <w:p w14:paraId="7A98743D" w14:textId="77777777" w:rsidR="00FC046A" w:rsidRDefault="00FC046A" w:rsidP="00874DFB">
      <w:pPr>
        <w:pStyle w:val="EndnoteText"/>
        <w:rPr>
          <w:rFonts w:ascii="Times New Roman" w:hAnsi="Times New Roman" w:cs="Times New Roman"/>
          <w:b/>
          <w:i/>
          <w:sz w:val="22"/>
          <w:szCs w:val="22"/>
        </w:rPr>
      </w:pPr>
    </w:p>
    <w:p w14:paraId="2C1959FB" w14:textId="77777777" w:rsidR="00FC046A" w:rsidRDefault="00FC046A" w:rsidP="00874DFB">
      <w:pPr>
        <w:pStyle w:val="EndnoteText"/>
        <w:rPr>
          <w:rFonts w:ascii="Times New Roman" w:hAnsi="Times New Roman" w:cs="Times New Roman"/>
          <w:b/>
          <w:i/>
          <w:sz w:val="22"/>
          <w:szCs w:val="22"/>
        </w:rPr>
      </w:pPr>
      <w:r w:rsidRPr="00A330F2">
        <w:rPr>
          <w:rFonts w:ascii="Times New Roman" w:hAnsi="Times New Roman" w:cs="Times New Roman"/>
          <w:b/>
          <w:i/>
          <w:sz w:val="22"/>
          <w:szCs w:val="22"/>
        </w:rPr>
        <w:t>You are. exempt for all tax years beginning before January 1, 2004, when your net written premiums (or, if greater, direct written premiums) do not exceed $350,000</w:t>
      </w:r>
      <w:r>
        <w:rPr>
          <w:rFonts w:ascii="Times New Roman" w:hAnsi="Times New Roman" w:cs="Times New Roman"/>
          <w:b/>
          <w:i/>
          <w:sz w:val="22"/>
          <w:szCs w:val="22"/>
        </w:rPr>
        <w:t>.</w:t>
      </w:r>
    </w:p>
    <w:p w14:paraId="32D4CB76" w14:textId="77777777" w:rsidR="00FC046A" w:rsidRDefault="00FC046A" w:rsidP="00874DFB">
      <w:pPr>
        <w:pStyle w:val="EndnoteText"/>
        <w:rPr>
          <w:rFonts w:ascii="Times New Roman" w:hAnsi="Times New Roman" w:cs="Times New Roman"/>
          <w:b/>
          <w:i/>
          <w:sz w:val="22"/>
          <w:szCs w:val="22"/>
        </w:rPr>
      </w:pPr>
    </w:p>
    <w:p w14:paraId="2E202057" w14:textId="1B1710FB" w:rsidR="00FC046A" w:rsidRPr="003B2B51" w:rsidRDefault="00FC046A" w:rsidP="00874DFB">
      <w:pPr>
        <w:pStyle w:val="EndnoteText"/>
        <w:rPr>
          <w:rFonts w:ascii="Times New Roman" w:hAnsi="Times New Roman" w:cs="Times New Roman"/>
          <w:b/>
          <w:i/>
          <w:sz w:val="22"/>
          <w:szCs w:val="22"/>
        </w:rPr>
      </w:pPr>
      <w:r w:rsidRPr="00A330F2">
        <w:rPr>
          <w:rFonts w:ascii="Times New Roman" w:hAnsi="Times New Roman" w:cs="Times New Roman"/>
          <w:b/>
          <w:i/>
          <w:sz w:val="22"/>
          <w:szCs w:val="22"/>
        </w:rPr>
        <w:t xml:space="preserve">For tax years beginning on or after January 1, 2004, you are exempt if (a) your gross receipts for the taxable. year do not exceed $600,000, and </w:t>
      </w:r>
      <w:r>
        <w:rPr>
          <w:rFonts w:ascii="Times New Roman" w:hAnsi="Times New Roman" w:cs="Times New Roman"/>
          <w:b/>
          <w:i/>
          <w:sz w:val="22"/>
          <w:szCs w:val="22"/>
        </w:rPr>
        <w:t>(</w:t>
      </w:r>
      <w:r w:rsidRPr="00A330F2">
        <w:rPr>
          <w:rFonts w:ascii="Times New Roman" w:hAnsi="Times New Roman" w:cs="Times New Roman"/>
          <w:b/>
          <w:i/>
          <w:sz w:val="22"/>
          <w:szCs w:val="22"/>
        </w:rPr>
        <w:t>b) more. than 50 percent of your gross receipts for the taxable year consists of premiums. See section 501(c)(15)(A)(i) of the Code. For purposes of these tests, amount</w:t>
      </w:r>
      <w:r>
        <w:rPr>
          <w:rFonts w:ascii="Times New Roman" w:hAnsi="Times New Roman" w:cs="Times New Roman"/>
          <w:b/>
          <w:i/>
          <w:sz w:val="22"/>
          <w:szCs w:val="22"/>
        </w:rPr>
        <w:t>s</w:t>
      </w:r>
      <w:r w:rsidRPr="00A330F2">
        <w:rPr>
          <w:rFonts w:ascii="Times New Roman" w:hAnsi="Times New Roman" w:cs="Times New Roman"/>
          <w:b/>
          <w:i/>
          <w:sz w:val="22"/>
          <w:szCs w:val="22"/>
        </w:rPr>
        <w:t xml:space="preserve"> received by entities affiliated with you are</w:t>
      </w:r>
      <w:r>
        <w:rPr>
          <w:rFonts w:ascii="Times New Roman" w:hAnsi="Times New Roman" w:cs="Times New Roman"/>
          <w:b/>
          <w:i/>
          <w:sz w:val="22"/>
          <w:szCs w:val="22"/>
        </w:rPr>
        <w:t xml:space="preserve"> t</w:t>
      </w:r>
      <w:r w:rsidRPr="00A330F2">
        <w:rPr>
          <w:rFonts w:ascii="Times New Roman" w:hAnsi="Times New Roman" w:cs="Times New Roman"/>
          <w:b/>
          <w:i/>
          <w:sz w:val="22"/>
          <w:szCs w:val="22"/>
        </w:rPr>
        <w:t>aken into account if the entities are members of your controlled group. See section 501(c)</w:t>
      </w:r>
      <w:r>
        <w:rPr>
          <w:rFonts w:ascii="Times New Roman" w:hAnsi="Times New Roman" w:cs="Times New Roman"/>
          <w:b/>
          <w:i/>
          <w:sz w:val="22"/>
          <w:szCs w:val="22"/>
        </w:rPr>
        <w:t>(</w:t>
      </w:r>
      <w:r w:rsidRPr="00A330F2">
        <w:rPr>
          <w:rFonts w:ascii="Times New Roman" w:hAnsi="Times New Roman" w:cs="Times New Roman"/>
          <w:b/>
          <w:i/>
          <w:sz w:val="22"/>
          <w:szCs w:val="22"/>
        </w:rPr>
        <w:t>15)(</w:t>
      </w:r>
      <w:r>
        <w:rPr>
          <w:rFonts w:ascii="Times New Roman" w:hAnsi="Times New Roman" w:cs="Times New Roman"/>
          <w:b/>
          <w:i/>
          <w:sz w:val="22"/>
          <w:szCs w:val="22"/>
        </w:rPr>
        <w:t>C</w:t>
      </w:r>
      <w:r w:rsidRPr="00A330F2">
        <w:rPr>
          <w:rFonts w:ascii="Times New Roman" w:hAnsi="Times New Roman" w:cs="Times New Roman"/>
          <w:b/>
          <w:i/>
          <w:sz w:val="22"/>
          <w:szCs w:val="22"/>
        </w:rPr>
        <w:t>)</w:t>
      </w:r>
      <w:r w:rsidRPr="007C2541">
        <w:rPr>
          <w:rFonts w:ascii="Times New Roman" w:hAnsi="Times New Roman" w:cs="Times New Roman"/>
          <w:sz w:val="22"/>
          <w:szCs w:val="22"/>
        </w:rPr>
        <w:t>.”</w:t>
      </w:r>
    </w:p>
    <w:p w14:paraId="367AC6E8" w14:textId="77777777" w:rsidR="00FC046A" w:rsidRPr="00432693" w:rsidRDefault="00FC046A">
      <w:pPr>
        <w:pStyle w:val="EndnoteText"/>
        <w:rPr>
          <w:sz w:val="22"/>
          <w:szCs w:val="22"/>
        </w:rPr>
      </w:pPr>
    </w:p>
  </w:endnote>
  <w:endnote w:id="112">
    <w:p w14:paraId="7C095170" w14:textId="026A65AD" w:rsidR="00FC046A" w:rsidRPr="001D2FC4" w:rsidRDefault="00FC046A" w:rsidP="009F7584">
      <w:pPr>
        <w:pStyle w:val="EndnoteText"/>
        <w:rPr>
          <w:rFonts w:ascii="Times New Roman" w:hAnsi="Times New Roman" w:cs="Times New Roman"/>
          <w:sz w:val="22"/>
          <w:szCs w:val="22"/>
        </w:rPr>
      </w:pPr>
      <w:r w:rsidRPr="001D2FC4">
        <w:rPr>
          <w:rStyle w:val="EndnoteReference"/>
          <w:rFonts w:ascii="Times New Roman" w:hAnsi="Times New Roman" w:cs="Times New Roman"/>
          <w:sz w:val="22"/>
          <w:szCs w:val="22"/>
        </w:rPr>
        <w:endnoteRef/>
      </w:r>
      <w:r w:rsidRPr="001D2FC4">
        <w:rPr>
          <w:rFonts w:ascii="Times New Roman" w:hAnsi="Times New Roman" w:cs="Times New Roman"/>
          <w:sz w:val="22"/>
          <w:szCs w:val="22"/>
        </w:rPr>
        <w:t xml:space="preserve"> </w:t>
      </w:r>
      <w:r>
        <w:rPr>
          <w:rFonts w:ascii="Times New Roman" w:hAnsi="Times New Roman" w:cs="Times New Roman"/>
          <w:sz w:val="22"/>
          <w:szCs w:val="22"/>
        </w:rPr>
        <w:t xml:space="preserve">The scope of the testimony of Donald Riggin, the government’s sole expert witness, was limited to the following issues as set forth in his </w:t>
      </w:r>
      <w:r w:rsidRPr="00393E29">
        <w:rPr>
          <w:rFonts w:ascii="Times New Roman" w:hAnsi="Times New Roman" w:cs="Times New Roman"/>
          <w:b/>
          <w:sz w:val="22"/>
          <w:szCs w:val="22"/>
        </w:rPr>
        <w:t>opening expert report</w:t>
      </w:r>
      <w:r>
        <w:rPr>
          <w:rFonts w:ascii="Times New Roman" w:hAnsi="Times New Roman" w:cs="Times New Roman"/>
          <w:sz w:val="22"/>
          <w:szCs w:val="22"/>
        </w:rPr>
        <w:t>: (1) whether he considered t</w:t>
      </w:r>
      <w:r w:rsidRPr="00475255">
        <w:rPr>
          <w:rFonts w:ascii="Times New Roman" w:hAnsi="Times New Roman" w:cs="Times New Roman"/>
          <w:sz w:val="22"/>
          <w:szCs w:val="22"/>
        </w:rPr>
        <w:t xml:space="preserve">he </w:t>
      </w:r>
      <w:r>
        <w:rPr>
          <w:rFonts w:ascii="Times New Roman" w:hAnsi="Times New Roman" w:cs="Times New Roman"/>
          <w:sz w:val="22"/>
          <w:szCs w:val="22"/>
        </w:rPr>
        <w:t xml:space="preserve">“so-called” </w:t>
      </w:r>
      <w:r w:rsidRPr="00475255">
        <w:rPr>
          <w:rFonts w:ascii="Times New Roman" w:hAnsi="Times New Roman" w:cs="Times New Roman"/>
          <w:sz w:val="22"/>
          <w:szCs w:val="22"/>
        </w:rPr>
        <w:t xml:space="preserve">premiums paid by the insured parties to Reserve </w:t>
      </w:r>
      <w:r>
        <w:rPr>
          <w:rFonts w:ascii="Times New Roman" w:hAnsi="Times New Roman" w:cs="Times New Roman"/>
          <w:sz w:val="22"/>
          <w:szCs w:val="22"/>
        </w:rPr>
        <w:t xml:space="preserve">to be actual </w:t>
      </w:r>
      <w:r w:rsidRPr="00475255">
        <w:rPr>
          <w:rFonts w:ascii="Times New Roman" w:hAnsi="Times New Roman" w:cs="Times New Roman"/>
          <w:sz w:val="22"/>
          <w:szCs w:val="22"/>
        </w:rPr>
        <w:t xml:space="preserve">premiums as would be calculated by a conventional </w:t>
      </w:r>
      <w:r w:rsidRPr="00A0463D">
        <w:rPr>
          <w:rFonts w:ascii="Times New Roman" w:hAnsi="Times New Roman" w:cs="Times New Roman"/>
          <w:b/>
          <w:i/>
          <w:sz w:val="22"/>
          <w:szCs w:val="22"/>
        </w:rPr>
        <w:t>multiline insurer</w:t>
      </w:r>
      <w:r>
        <w:rPr>
          <w:rFonts w:ascii="Times New Roman" w:hAnsi="Times New Roman" w:cs="Times New Roman"/>
          <w:sz w:val="22"/>
          <w:szCs w:val="22"/>
        </w:rPr>
        <w:t>, which he answered in the negative, (2) whether t</w:t>
      </w:r>
      <w:r w:rsidRPr="00C40D00">
        <w:rPr>
          <w:rFonts w:ascii="Times New Roman" w:hAnsi="Times New Roman" w:cs="Times New Roman"/>
          <w:sz w:val="22"/>
          <w:szCs w:val="22"/>
        </w:rPr>
        <w:t xml:space="preserve">he role of portfolio diversity </w:t>
      </w:r>
      <w:r>
        <w:rPr>
          <w:rFonts w:ascii="Times New Roman" w:hAnsi="Times New Roman" w:cs="Times New Roman"/>
          <w:sz w:val="22"/>
          <w:szCs w:val="22"/>
        </w:rPr>
        <w:t xml:space="preserve">was effective </w:t>
      </w:r>
      <w:r w:rsidRPr="00C40D00">
        <w:rPr>
          <w:rFonts w:ascii="Times New Roman" w:hAnsi="Times New Roman" w:cs="Times New Roman"/>
          <w:sz w:val="22"/>
          <w:szCs w:val="22"/>
        </w:rPr>
        <w:t>in distributing risk from an insurance industry</w:t>
      </w:r>
      <w:r>
        <w:rPr>
          <w:rFonts w:ascii="Times New Roman" w:hAnsi="Times New Roman" w:cs="Times New Roman"/>
          <w:sz w:val="22"/>
          <w:szCs w:val="22"/>
        </w:rPr>
        <w:t xml:space="preserve"> </w:t>
      </w:r>
      <w:r w:rsidRPr="00C40D00">
        <w:rPr>
          <w:rFonts w:ascii="Times New Roman" w:hAnsi="Times New Roman" w:cs="Times New Roman"/>
          <w:sz w:val="22"/>
          <w:szCs w:val="22"/>
        </w:rPr>
        <w:t>perspective</w:t>
      </w:r>
      <w:r>
        <w:rPr>
          <w:rFonts w:ascii="Times New Roman" w:hAnsi="Times New Roman" w:cs="Times New Roman"/>
          <w:sz w:val="22"/>
          <w:szCs w:val="22"/>
        </w:rPr>
        <w:t xml:space="preserve">, which he answered in the negative, and (3) whether </w:t>
      </w:r>
      <w:r w:rsidRPr="00C40D00">
        <w:rPr>
          <w:rFonts w:ascii="Times New Roman" w:hAnsi="Times New Roman" w:cs="Times New Roman"/>
          <w:sz w:val="22"/>
          <w:szCs w:val="22"/>
        </w:rPr>
        <w:t>the Reserve arrangement, as structured and executed, was in accordance</w:t>
      </w:r>
      <w:r>
        <w:rPr>
          <w:rFonts w:ascii="Times New Roman" w:hAnsi="Times New Roman" w:cs="Times New Roman"/>
          <w:sz w:val="22"/>
          <w:szCs w:val="22"/>
        </w:rPr>
        <w:t xml:space="preserve"> </w:t>
      </w:r>
      <w:r w:rsidRPr="00C40D00">
        <w:rPr>
          <w:rFonts w:ascii="Times New Roman" w:hAnsi="Times New Roman" w:cs="Times New Roman"/>
          <w:sz w:val="22"/>
          <w:szCs w:val="22"/>
        </w:rPr>
        <w:t xml:space="preserve">with insurance industry standards and practices in its dealings with its three </w:t>
      </w:r>
      <w:r>
        <w:rPr>
          <w:rFonts w:ascii="Times New Roman" w:hAnsi="Times New Roman" w:cs="Times New Roman"/>
          <w:sz w:val="22"/>
          <w:szCs w:val="22"/>
        </w:rPr>
        <w:t xml:space="preserve">named </w:t>
      </w:r>
      <w:r w:rsidRPr="00C40D00">
        <w:rPr>
          <w:rFonts w:ascii="Times New Roman" w:hAnsi="Times New Roman" w:cs="Times New Roman"/>
          <w:sz w:val="22"/>
          <w:szCs w:val="22"/>
        </w:rPr>
        <w:t>insured companies at</w:t>
      </w:r>
      <w:r>
        <w:rPr>
          <w:rFonts w:ascii="Times New Roman" w:hAnsi="Times New Roman" w:cs="Times New Roman"/>
          <w:sz w:val="22"/>
          <w:szCs w:val="22"/>
        </w:rPr>
        <w:t xml:space="preserve"> </w:t>
      </w:r>
      <w:r w:rsidRPr="00C40D00">
        <w:rPr>
          <w:rFonts w:ascii="Times New Roman" w:hAnsi="Times New Roman" w:cs="Times New Roman"/>
          <w:sz w:val="22"/>
          <w:szCs w:val="22"/>
        </w:rPr>
        <w:t>issue</w:t>
      </w:r>
      <w:r>
        <w:rPr>
          <w:rFonts w:ascii="Times New Roman" w:hAnsi="Times New Roman" w:cs="Times New Roman"/>
          <w:sz w:val="22"/>
          <w:szCs w:val="22"/>
        </w:rPr>
        <w:t xml:space="preserve"> (i.e., </w:t>
      </w:r>
      <w:r w:rsidRPr="006F2410">
        <w:rPr>
          <w:rFonts w:ascii="Times New Roman" w:hAnsi="Times New Roman" w:cs="Times New Roman"/>
          <w:sz w:val="22"/>
          <w:szCs w:val="22"/>
        </w:rPr>
        <w:t>Peak Mechanical &amp; Components, Inc., RocQuest, LLC, and ZW Enterprises,</w:t>
      </w:r>
      <w:r>
        <w:rPr>
          <w:rFonts w:ascii="Times New Roman" w:hAnsi="Times New Roman" w:cs="Times New Roman"/>
          <w:sz w:val="22"/>
          <w:szCs w:val="22"/>
        </w:rPr>
        <w:t xml:space="preserve"> </w:t>
      </w:r>
      <w:r w:rsidRPr="006F2410">
        <w:rPr>
          <w:rFonts w:ascii="Times New Roman" w:hAnsi="Times New Roman" w:cs="Times New Roman"/>
          <w:sz w:val="22"/>
          <w:szCs w:val="22"/>
        </w:rPr>
        <w:t>LLC</w:t>
      </w:r>
      <w:r>
        <w:rPr>
          <w:rFonts w:ascii="Times New Roman" w:hAnsi="Times New Roman" w:cs="Times New Roman"/>
          <w:sz w:val="22"/>
          <w:szCs w:val="22"/>
        </w:rPr>
        <w:t>), which he answered in the negative</w:t>
      </w:r>
      <w:r w:rsidRPr="006F2410">
        <w:rPr>
          <w:rFonts w:ascii="Times New Roman" w:hAnsi="Times New Roman" w:cs="Times New Roman"/>
          <w:sz w:val="22"/>
          <w:szCs w:val="22"/>
        </w:rPr>
        <w:t>.</w:t>
      </w:r>
      <w:r>
        <w:rPr>
          <w:rFonts w:ascii="Times New Roman" w:hAnsi="Times New Roman" w:cs="Times New Roman"/>
          <w:sz w:val="22"/>
          <w:szCs w:val="22"/>
        </w:rPr>
        <w:t xml:space="preserve">  See </w:t>
      </w:r>
      <w:r w:rsidRPr="005256D6">
        <w:rPr>
          <w:rFonts w:ascii="Times New Roman" w:hAnsi="Times New Roman" w:cs="Times New Roman"/>
          <w:sz w:val="22"/>
          <w:szCs w:val="22"/>
        </w:rPr>
        <w:t>Exhibit 136-R (Opening Expert Report of Donald J. Riggin, dated March 27, 2017)</w:t>
      </w:r>
      <w:r>
        <w:rPr>
          <w:rFonts w:ascii="Times New Roman" w:hAnsi="Times New Roman" w:cs="Times New Roman"/>
          <w:sz w:val="22"/>
          <w:szCs w:val="22"/>
        </w:rPr>
        <w:t xml:space="preserve">.  In his </w:t>
      </w:r>
      <w:r w:rsidRPr="00922062">
        <w:rPr>
          <w:rFonts w:ascii="Times New Roman" w:hAnsi="Times New Roman" w:cs="Times New Roman"/>
          <w:b/>
          <w:sz w:val="22"/>
          <w:szCs w:val="22"/>
        </w:rPr>
        <w:t>rebuttal expert report</w:t>
      </w:r>
      <w:r>
        <w:rPr>
          <w:rFonts w:ascii="Times New Roman" w:hAnsi="Times New Roman" w:cs="Times New Roman"/>
          <w:sz w:val="22"/>
          <w:szCs w:val="22"/>
        </w:rPr>
        <w:t xml:space="preserve">, the scope of Mr. Riggin’s testimony was limited to a rebuttal of Reserve’s experts on the following issues: (a) </w:t>
      </w:r>
      <w:r w:rsidRPr="00CA4997">
        <w:rPr>
          <w:rFonts w:ascii="Times New Roman" w:hAnsi="Times New Roman" w:cs="Times New Roman"/>
          <w:sz w:val="22"/>
          <w:szCs w:val="22"/>
        </w:rPr>
        <w:t>Dr. Neil Doherty</w:t>
      </w:r>
      <w:r>
        <w:rPr>
          <w:rFonts w:ascii="Times New Roman" w:hAnsi="Times New Roman" w:cs="Times New Roman"/>
          <w:sz w:val="22"/>
          <w:szCs w:val="22"/>
        </w:rPr>
        <w:t>’</w:t>
      </w:r>
      <w:r w:rsidRPr="00CA4997">
        <w:rPr>
          <w:rFonts w:ascii="Times New Roman" w:hAnsi="Times New Roman" w:cs="Times New Roman"/>
          <w:sz w:val="22"/>
          <w:szCs w:val="22"/>
        </w:rPr>
        <w:t>s opinion that Reserve</w:t>
      </w:r>
      <w:r>
        <w:rPr>
          <w:rFonts w:ascii="Times New Roman" w:hAnsi="Times New Roman" w:cs="Times New Roman"/>
          <w:sz w:val="22"/>
          <w:szCs w:val="22"/>
        </w:rPr>
        <w:t>’</w:t>
      </w:r>
      <w:r w:rsidRPr="00CA4997">
        <w:rPr>
          <w:rFonts w:ascii="Times New Roman" w:hAnsi="Times New Roman" w:cs="Times New Roman"/>
          <w:sz w:val="22"/>
          <w:szCs w:val="22"/>
        </w:rPr>
        <w:t>s insurance structure distributes</w:t>
      </w:r>
      <w:r>
        <w:rPr>
          <w:rFonts w:ascii="Times New Roman" w:hAnsi="Times New Roman" w:cs="Times New Roman"/>
          <w:sz w:val="22"/>
          <w:szCs w:val="22"/>
        </w:rPr>
        <w:t xml:space="preserve"> </w:t>
      </w:r>
      <w:r w:rsidRPr="00CA4997">
        <w:rPr>
          <w:rFonts w:ascii="Times New Roman" w:hAnsi="Times New Roman" w:cs="Times New Roman"/>
          <w:sz w:val="22"/>
          <w:szCs w:val="22"/>
        </w:rPr>
        <w:t>insurance risk</w:t>
      </w:r>
      <w:r>
        <w:rPr>
          <w:rFonts w:ascii="Times New Roman" w:hAnsi="Times New Roman" w:cs="Times New Roman"/>
          <w:sz w:val="22"/>
          <w:szCs w:val="22"/>
        </w:rPr>
        <w:t xml:space="preserve">, (b) CPCU </w:t>
      </w:r>
      <w:r w:rsidRPr="00D30A57">
        <w:rPr>
          <w:rFonts w:ascii="Times New Roman" w:hAnsi="Times New Roman" w:cs="Times New Roman"/>
          <w:sz w:val="22"/>
          <w:szCs w:val="22"/>
        </w:rPr>
        <w:t>Robert L. Snyder</w:t>
      </w:r>
      <w:r>
        <w:rPr>
          <w:rFonts w:ascii="Times New Roman" w:hAnsi="Times New Roman" w:cs="Times New Roman"/>
          <w:sz w:val="22"/>
          <w:szCs w:val="22"/>
        </w:rPr>
        <w:t>’</w:t>
      </w:r>
      <w:r w:rsidRPr="00D30A57">
        <w:rPr>
          <w:rFonts w:ascii="Times New Roman" w:hAnsi="Times New Roman" w:cs="Times New Roman"/>
          <w:sz w:val="22"/>
          <w:szCs w:val="22"/>
        </w:rPr>
        <w:t>s opinion that the Reserve coverages served to augment</w:t>
      </w:r>
      <w:r>
        <w:rPr>
          <w:rFonts w:ascii="Times New Roman" w:hAnsi="Times New Roman" w:cs="Times New Roman"/>
          <w:sz w:val="22"/>
          <w:szCs w:val="22"/>
        </w:rPr>
        <w:t xml:space="preserve"> </w:t>
      </w:r>
      <w:r w:rsidRPr="00D30A57">
        <w:rPr>
          <w:rFonts w:ascii="Times New Roman" w:hAnsi="Times New Roman" w:cs="Times New Roman"/>
          <w:sz w:val="22"/>
          <w:szCs w:val="22"/>
        </w:rPr>
        <w:t>commercially obtained insuranc</w:t>
      </w:r>
      <w:r>
        <w:rPr>
          <w:rFonts w:ascii="Times New Roman" w:hAnsi="Times New Roman" w:cs="Times New Roman"/>
          <w:sz w:val="22"/>
          <w:szCs w:val="22"/>
        </w:rPr>
        <w:t xml:space="preserve">e, (c) Actuary </w:t>
      </w:r>
      <w:r w:rsidRPr="003F2BF8">
        <w:rPr>
          <w:rFonts w:ascii="Times New Roman" w:hAnsi="Times New Roman" w:cs="Times New Roman"/>
          <w:sz w:val="22"/>
          <w:szCs w:val="22"/>
        </w:rPr>
        <w:t>Gary Fagg</w:t>
      </w:r>
      <w:r>
        <w:rPr>
          <w:rFonts w:ascii="Times New Roman" w:hAnsi="Times New Roman" w:cs="Times New Roman"/>
          <w:sz w:val="22"/>
          <w:szCs w:val="22"/>
        </w:rPr>
        <w:t>’</w:t>
      </w:r>
      <w:r w:rsidRPr="003F2BF8">
        <w:rPr>
          <w:rFonts w:ascii="Times New Roman" w:hAnsi="Times New Roman" w:cs="Times New Roman"/>
          <w:sz w:val="22"/>
          <w:szCs w:val="22"/>
        </w:rPr>
        <w:t>s opinion that the CreditRe loss exposures impact</w:t>
      </w:r>
      <w:r>
        <w:rPr>
          <w:rFonts w:ascii="Times New Roman" w:hAnsi="Times New Roman" w:cs="Times New Roman"/>
          <w:sz w:val="22"/>
          <w:szCs w:val="22"/>
        </w:rPr>
        <w:t>ed</w:t>
      </w:r>
      <w:r w:rsidRPr="003F2BF8">
        <w:rPr>
          <w:rFonts w:ascii="Times New Roman" w:hAnsi="Times New Roman" w:cs="Times New Roman"/>
          <w:sz w:val="22"/>
          <w:szCs w:val="22"/>
        </w:rPr>
        <w:t xml:space="preserve"> Reserve</w:t>
      </w:r>
      <w:r>
        <w:rPr>
          <w:rFonts w:ascii="Times New Roman" w:hAnsi="Times New Roman" w:cs="Times New Roman"/>
          <w:sz w:val="22"/>
          <w:szCs w:val="22"/>
        </w:rPr>
        <w:t>’</w:t>
      </w:r>
      <w:r w:rsidRPr="003F2BF8">
        <w:rPr>
          <w:rFonts w:ascii="Times New Roman" w:hAnsi="Times New Roman" w:cs="Times New Roman"/>
          <w:sz w:val="22"/>
          <w:szCs w:val="22"/>
        </w:rPr>
        <w:t>s core</w:t>
      </w:r>
      <w:r>
        <w:rPr>
          <w:rFonts w:ascii="Times New Roman" w:hAnsi="Times New Roman" w:cs="Times New Roman"/>
          <w:sz w:val="22"/>
          <w:szCs w:val="22"/>
        </w:rPr>
        <w:t xml:space="preserve"> </w:t>
      </w:r>
      <w:r w:rsidRPr="003F2BF8">
        <w:rPr>
          <w:rFonts w:ascii="Times New Roman" w:hAnsi="Times New Roman" w:cs="Times New Roman"/>
          <w:sz w:val="22"/>
          <w:szCs w:val="22"/>
        </w:rPr>
        <w:t>coverage risk distribution in the commonly accepted sense</w:t>
      </w:r>
      <w:r>
        <w:rPr>
          <w:rFonts w:ascii="Times New Roman" w:hAnsi="Times New Roman" w:cs="Times New Roman"/>
          <w:sz w:val="22"/>
          <w:szCs w:val="22"/>
        </w:rPr>
        <w:t xml:space="preserve">, (d) Actuary </w:t>
      </w:r>
      <w:r w:rsidRPr="00CC7F54">
        <w:rPr>
          <w:rFonts w:ascii="Times New Roman" w:hAnsi="Times New Roman" w:cs="Times New Roman"/>
          <w:sz w:val="22"/>
          <w:szCs w:val="22"/>
        </w:rPr>
        <w:t>Esperanza Mea</w:t>
      </w:r>
      <w:r>
        <w:rPr>
          <w:rFonts w:ascii="Times New Roman" w:hAnsi="Times New Roman" w:cs="Times New Roman"/>
          <w:sz w:val="22"/>
          <w:szCs w:val="22"/>
        </w:rPr>
        <w:t>d’</w:t>
      </w:r>
      <w:r w:rsidRPr="00CC7F54">
        <w:rPr>
          <w:rFonts w:ascii="Times New Roman" w:hAnsi="Times New Roman" w:cs="Times New Roman"/>
          <w:sz w:val="22"/>
          <w:szCs w:val="22"/>
        </w:rPr>
        <w:t>s opinion on Reserve</w:t>
      </w:r>
      <w:r>
        <w:rPr>
          <w:rFonts w:ascii="Times New Roman" w:hAnsi="Times New Roman" w:cs="Times New Roman"/>
          <w:sz w:val="22"/>
          <w:szCs w:val="22"/>
        </w:rPr>
        <w:t>’</w:t>
      </w:r>
      <w:r w:rsidRPr="00CC7F54">
        <w:rPr>
          <w:rFonts w:ascii="Times New Roman" w:hAnsi="Times New Roman" w:cs="Times New Roman"/>
          <w:sz w:val="22"/>
          <w:szCs w:val="22"/>
        </w:rPr>
        <w:t xml:space="preserve">s </w:t>
      </w:r>
      <w:r>
        <w:rPr>
          <w:rFonts w:ascii="Times New Roman" w:hAnsi="Times New Roman" w:cs="Times New Roman"/>
          <w:sz w:val="22"/>
          <w:szCs w:val="22"/>
        </w:rPr>
        <w:t>ability to estimate expected losses</w:t>
      </w:r>
      <w:r w:rsidRPr="00CC7F54">
        <w:rPr>
          <w:rFonts w:ascii="Times New Roman" w:hAnsi="Times New Roman" w:cs="Times New Roman"/>
          <w:sz w:val="22"/>
          <w:szCs w:val="22"/>
        </w:rPr>
        <w:t>, in the absence of</w:t>
      </w:r>
      <w:r>
        <w:rPr>
          <w:rFonts w:ascii="Times New Roman" w:hAnsi="Times New Roman" w:cs="Times New Roman"/>
          <w:sz w:val="22"/>
          <w:szCs w:val="22"/>
        </w:rPr>
        <w:t xml:space="preserve"> </w:t>
      </w:r>
      <w:r w:rsidRPr="00CC7F54">
        <w:rPr>
          <w:rFonts w:ascii="Times New Roman" w:hAnsi="Times New Roman" w:cs="Times New Roman"/>
          <w:sz w:val="22"/>
          <w:szCs w:val="22"/>
        </w:rPr>
        <w:t>actual loss information</w:t>
      </w:r>
      <w:r>
        <w:rPr>
          <w:rFonts w:ascii="Times New Roman" w:hAnsi="Times New Roman" w:cs="Times New Roman"/>
          <w:sz w:val="22"/>
          <w:szCs w:val="22"/>
        </w:rPr>
        <w:t xml:space="preserve">, and (e) Actuary </w:t>
      </w:r>
      <w:r w:rsidRPr="009F7584">
        <w:rPr>
          <w:rFonts w:ascii="Times New Roman" w:hAnsi="Times New Roman" w:cs="Times New Roman"/>
          <w:sz w:val="22"/>
          <w:szCs w:val="22"/>
        </w:rPr>
        <w:t>Michael Solomon</w:t>
      </w:r>
      <w:r>
        <w:rPr>
          <w:rFonts w:ascii="Times New Roman" w:hAnsi="Times New Roman" w:cs="Times New Roman"/>
          <w:sz w:val="22"/>
          <w:szCs w:val="22"/>
        </w:rPr>
        <w:t>’</w:t>
      </w:r>
      <w:r w:rsidRPr="009F7584">
        <w:rPr>
          <w:rFonts w:ascii="Times New Roman" w:hAnsi="Times New Roman" w:cs="Times New Roman"/>
          <w:sz w:val="22"/>
          <w:szCs w:val="22"/>
        </w:rPr>
        <w:t>s opinion on premium pricing methodology</w:t>
      </w:r>
      <w:r>
        <w:rPr>
          <w:rFonts w:ascii="Times New Roman" w:hAnsi="Times New Roman" w:cs="Times New Roman"/>
          <w:sz w:val="22"/>
          <w:szCs w:val="22"/>
        </w:rPr>
        <w:t xml:space="preserve"> with respect to coverages that did </w:t>
      </w:r>
      <w:r w:rsidRPr="009F7584">
        <w:rPr>
          <w:rFonts w:ascii="Times New Roman" w:hAnsi="Times New Roman" w:cs="Times New Roman"/>
          <w:sz w:val="22"/>
          <w:szCs w:val="22"/>
        </w:rPr>
        <w:t>not use actual loss data.</w:t>
      </w:r>
      <w:r>
        <w:rPr>
          <w:rFonts w:ascii="Times New Roman" w:hAnsi="Times New Roman" w:cs="Times New Roman"/>
          <w:sz w:val="22"/>
          <w:szCs w:val="22"/>
        </w:rPr>
        <w:t xml:space="preserve">  </w:t>
      </w:r>
      <w:r w:rsidRPr="00EE26D7">
        <w:rPr>
          <w:rFonts w:ascii="Times New Roman" w:hAnsi="Times New Roman" w:cs="Times New Roman"/>
          <w:sz w:val="22"/>
          <w:szCs w:val="22"/>
        </w:rPr>
        <w:t>See Exhibit 137-R (Rebuttal Expert Report of Donald J. Riggin, April 10, 2017)</w:t>
      </w:r>
      <w:r>
        <w:rPr>
          <w:rFonts w:ascii="Times New Roman" w:hAnsi="Times New Roman" w:cs="Times New Roman"/>
          <w:sz w:val="22"/>
          <w:szCs w:val="22"/>
        </w:rPr>
        <w:t>.</w:t>
      </w:r>
    </w:p>
    <w:p w14:paraId="367D6AF0" w14:textId="77777777" w:rsidR="00FC046A" w:rsidRPr="001D2FC4" w:rsidRDefault="00FC046A">
      <w:pPr>
        <w:pStyle w:val="EndnoteText"/>
        <w:rPr>
          <w:rFonts w:ascii="Times New Roman" w:hAnsi="Times New Roman" w:cs="Times New Roman"/>
          <w:sz w:val="22"/>
          <w:szCs w:val="22"/>
        </w:rPr>
      </w:pPr>
    </w:p>
  </w:endnote>
  <w:endnote w:id="113">
    <w:p w14:paraId="14E2EAC8" w14:textId="0B42B64C" w:rsidR="00FC046A" w:rsidRPr="006D6E24" w:rsidRDefault="00FC046A" w:rsidP="00937470">
      <w:pPr>
        <w:pStyle w:val="EndnoteText"/>
        <w:rPr>
          <w:rFonts w:ascii="Times New Roman" w:hAnsi="Times New Roman" w:cs="Times New Roman"/>
          <w:sz w:val="22"/>
          <w:szCs w:val="22"/>
        </w:rPr>
      </w:pPr>
      <w:r w:rsidRPr="006D6E24">
        <w:rPr>
          <w:rStyle w:val="EndnoteReference"/>
          <w:rFonts w:ascii="Times New Roman" w:hAnsi="Times New Roman" w:cs="Times New Roman"/>
          <w:sz w:val="22"/>
          <w:szCs w:val="22"/>
        </w:rPr>
        <w:endnoteRef/>
      </w:r>
      <w:r w:rsidRPr="006D6E24">
        <w:rPr>
          <w:rFonts w:ascii="Times New Roman" w:hAnsi="Times New Roman" w:cs="Times New Roman"/>
          <w:sz w:val="22"/>
          <w:szCs w:val="22"/>
        </w:rPr>
        <w:t xml:space="preserve"> See testimony of Norman Zumbaum, </w:t>
      </w:r>
      <w:r>
        <w:rPr>
          <w:rFonts w:ascii="Times New Roman" w:hAnsi="Times New Roman" w:cs="Times New Roman"/>
          <w:sz w:val="22"/>
          <w:szCs w:val="22"/>
        </w:rPr>
        <w:t>Tr.</w:t>
      </w:r>
      <w:r w:rsidRPr="006D6E24">
        <w:rPr>
          <w:rFonts w:ascii="Times New Roman" w:hAnsi="Times New Roman" w:cs="Times New Roman"/>
          <w:sz w:val="22"/>
          <w:szCs w:val="22"/>
        </w:rPr>
        <w:t xml:space="preserve"> at 123</w:t>
      </w:r>
      <w:r>
        <w:rPr>
          <w:rFonts w:ascii="Times New Roman" w:hAnsi="Times New Roman" w:cs="Times New Roman"/>
          <w:sz w:val="22"/>
          <w:szCs w:val="22"/>
        </w:rPr>
        <w:t>, where Mr. Zumbaum stated that “</w:t>
      </w:r>
      <w:r w:rsidRPr="00676A5D">
        <w:rPr>
          <w:rFonts w:ascii="Times New Roman" w:hAnsi="Times New Roman" w:cs="Times New Roman"/>
          <w:sz w:val="22"/>
          <w:szCs w:val="22"/>
        </w:rPr>
        <w:t>I</w:t>
      </w:r>
      <w:r>
        <w:rPr>
          <w:rFonts w:ascii="Times New Roman" w:hAnsi="Times New Roman" w:cs="Times New Roman"/>
          <w:sz w:val="22"/>
          <w:szCs w:val="22"/>
        </w:rPr>
        <w:t xml:space="preserve"> </w:t>
      </w:r>
      <w:r w:rsidRPr="00676A5D">
        <w:rPr>
          <w:rFonts w:ascii="Times New Roman" w:hAnsi="Times New Roman" w:cs="Times New Roman"/>
          <w:sz w:val="22"/>
          <w:szCs w:val="22"/>
        </w:rPr>
        <w:t>think in the valley we probably</w:t>
      </w:r>
      <w:r>
        <w:rPr>
          <w:rFonts w:ascii="Times New Roman" w:hAnsi="Times New Roman" w:cs="Times New Roman"/>
          <w:sz w:val="22"/>
          <w:szCs w:val="22"/>
        </w:rPr>
        <w:t xml:space="preserve"> </w:t>
      </w:r>
      <w:r w:rsidRPr="00676A5D">
        <w:rPr>
          <w:rFonts w:ascii="Times New Roman" w:hAnsi="Times New Roman" w:cs="Times New Roman"/>
          <w:sz w:val="22"/>
          <w:szCs w:val="22"/>
        </w:rPr>
        <w:t>couldn</w:t>
      </w:r>
      <w:r>
        <w:rPr>
          <w:rFonts w:ascii="Times New Roman" w:hAnsi="Times New Roman" w:cs="Times New Roman"/>
          <w:sz w:val="22"/>
          <w:szCs w:val="22"/>
        </w:rPr>
        <w:t>’</w:t>
      </w:r>
      <w:r w:rsidRPr="00676A5D">
        <w:rPr>
          <w:rFonts w:ascii="Times New Roman" w:hAnsi="Times New Roman" w:cs="Times New Roman"/>
          <w:sz w:val="22"/>
          <w:szCs w:val="22"/>
        </w:rPr>
        <w:t>t get pollution insurance</w:t>
      </w:r>
      <w:r>
        <w:rPr>
          <w:rFonts w:ascii="Times New Roman" w:hAnsi="Times New Roman" w:cs="Times New Roman"/>
          <w:sz w:val="22"/>
          <w:szCs w:val="22"/>
        </w:rPr>
        <w:t xml:space="preserve">” due to Peak being located in a “Superfund site.”  See also Tr. at 119-120, where Mr. Zumbaum stated that, </w:t>
      </w:r>
      <w:r w:rsidRPr="00032F90">
        <w:rPr>
          <w:rFonts w:ascii="Times New Roman" w:hAnsi="Times New Roman" w:cs="Times New Roman"/>
          <w:sz w:val="22"/>
          <w:szCs w:val="22"/>
        </w:rPr>
        <w:t>because of pollutants, being in a</w:t>
      </w:r>
      <w:r>
        <w:rPr>
          <w:rFonts w:ascii="Times New Roman" w:hAnsi="Times New Roman" w:cs="Times New Roman"/>
          <w:sz w:val="22"/>
          <w:szCs w:val="22"/>
        </w:rPr>
        <w:t xml:space="preserve"> </w:t>
      </w:r>
      <w:r w:rsidRPr="00032F90">
        <w:rPr>
          <w:rFonts w:ascii="Times New Roman" w:hAnsi="Times New Roman" w:cs="Times New Roman"/>
          <w:sz w:val="22"/>
          <w:szCs w:val="22"/>
        </w:rPr>
        <w:t>floodplain</w:t>
      </w:r>
      <w:r>
        <w:rPr>
          <w:rFonts w:ascii="Times New Roman" w:hAnsi="Times New Roman" w:cs="Times New Roman"/>
          <w:sz w:val="22"/>
          <w:szCs w:val="22"/>
        </w:rPr>
        <w:t>, “</w:t>
      </w:r>
      <w:r w:rsidRPr="00032F90">
        <w:rPr>
          <w:rFonts w:ascii="Times New Roman" w:hAnsi="Times New Roman" w:cs="Times New Roman"/>
          <w:sz w:val="22"/>
          <w:szCs w:val="22"/>
        </w:rPr>
        <w:t>that</w:t>
      </w:r>
      <w:r>
        <w:rPr>
          <w:rFonts w:ascii="Times New Roman" w:hAnsi="Times New Roman" w:cs="Times New Roman"/>
          <w:sz w:val="22"/>
          <w:szCs w:val="22"/>
        </w:rPr>
        <w:t>’</w:t>
      </w:r>
      <w:r w:rsidRPr="00032F90">
        <w:rPr>
          <w:rFonts w:ascii="Times New Roman" w:hAnsi="Times New Roman" w:cs="Times New Roman"/>
          <w:sz w:val="22"/>
          <w:szCs w:val="22"/>
        </w:rPr>
        <w:t>s kind of what spurred the</w:t>
      </w:r>
      <w:r>
        <w:rPr>
          <w:rFonts w:ascii="Times New Roman" w:hAnsi="Times New Roman" w:cs="Times New Roman"/>
          <w:sz w:val="22"/>
          <w:szCs w:val="22"/>
        </w:rPr>
        <w:t xml:space="preserve"> </w:t>
      </w:r>
      <w:r w:rsidRPr="00032F90">
        <w:rPr>
          <w:rFonts w:ascii="Times New Roman" w:hAnsi="Times New Roman" w:cs="Times New Roman"/>
          <w:sz w:val="22"/>
          <w:szCs w:val="22"/>
        </w:rPr>
        <w:t>Superfund site through the years of history is the</w:t>
      </w:r>
      <w:r>
        <w:rPr>
          <w:rFonts w:ascii="Times New Roman" w:hAnsi="Times New Roman" w:cs="Times New Roman"/>
          <w:sz w:val="22"/>
          <w:szCs w:val="22"/>
        </w:rPr>
        <w:t xml:space="preserve"> </w:t>
      </w:r>
      <w:r w:rsidRPr="00196326">
        <w:rPr>
          <w:rFonts w:ascii="Times New Roman" w:hAnsi="Times New Roman" w:cs="Times New Roman"/>
          <w:sz w:val="22"/>
          <w:szCs w:val="22"/>
        </w:rPr>
        <w:t>mining companies dumping their tailings back in the</w:t>
      </w:r>
      <w:r>
        <w:rPr>
          <w:rFonts w:ascii="Times New Roman" w:hAnsi="Times New Roman" w:cs="Times New Roman"/>
          <w:sz w:val="22"/>
          <w:szCs w:val="22"/>
        </w:rPr>
        <w:t xml:space="preserve"> </w:t>
      </w:r>
      <w:r w:rsidRPr="00196326">
        <w:rPr>
          <w:rFonts w:ascii="Times New Roman" w:hAnsi="Times New Roman" w:cs="Times New Roman"/>
          <w:sz w:val="22"/>
          <w:szCs w:val="22"/>
        </w:rPr>
        <w:t>day and floods and disbursed it through the valley.</w:t>
      </w:r>
      <w:r>
        <w:rPr>
          <w:rFonts w:ascii="Times New Roman" w:hAnsi="Times New Roman" w:cs="Times New Roman"/>
          <w:sz w:val="22"/>
          <w:szCs w:val="22"/>
        </w:rPr>
        <w:t>” Mr. Zumbaum further testified that “</w:t>
      </w:r>
      <w:r w:rsidRPr="00196326">
        <w:rPr>
          <w:rFonts w:ascii="Times New Roman" w:hAnsi="Times New Roman" w:cs="Times New Roman"/>
          <w:sz w:val="22"/>
          <w:szCs w:val="22"/>
        </w:rPr>
        <w:t>it</w:t>
      </w:r>
      <w:r>
        <w:rPr>
          <w:rFonts w:ascii="Times New Roman" w:hAnsi="Times New Roman" w:cs="Times New Roman"/>
          <w:sz w:val="22"/>
          <w:szCs w:val="22"/>
        </w:rPr>
        <w:t>’</w:t>
      </w:r>
      <w:r w:rsidRPr="00196326">
        <w:rPr>
          <w:rFonts w:ascii="Times New Roman" w:hAnsi="Times New Roman" w:cs="Times New Roman"/>
          <w:sz w:val="22"/>
          <w:szCs w:val="22"/>
        </w:rPr>
        <w:t>s a very narrow valley</w:t>
      </w:r>
      <w:r>
        <w:rPr>
          <w:rFonts w:ascii="Times New Roman" w:hAnsi="Times New Roman" w:cs="Times New Roman"/>
          <w:sz w:val="22"/>
          <w:szCs w:val="22"/>
        </w:rPr>
        <w:t>” that is “</w:t>
      </w:r>
      <w:r w:rsidRPr="00196326">
        <w:rPr>
          <w:rFonts w:ascii="Times New Roman" w:hAnsi="Times New Roman" w:cs="Times New Roman"/>
          <w:sz w:val="22"/>
          <w:szCs w:val="22"/>
        </w:rPr>
        <w:t>probably two miles wide, three at the most</w:t>
      </w:r>
      <w:r>
        <w:rPr>
          <w:rFonts w:ascii="Times New Roman" w:hAnsi="Times New Roman" w:cs="Times New Roman"/>
          <w:sz w:val="22"/>
          <w:szCs w:val="22"/>
        </w:rPr>
        <w:t xml:space="preserve"> … </w:t>
      </w:r>
      <w:r w:rsidRPr="00196326">
        <w:rPr>
          <w:rFonts w:ascii="Times New Roman" w:hAnsi="Times New Roman" w:cs="Times New Roman"/>
          <w:sz w:val="22"/>
          <w:szCs w:val="22"/>
        </w:rPr>
        <w:t>so it</w:t>
      </w:r>
      <w:r>
        <w:rPr>
          <w:rFonts w:ascii="Times New Roman" w:hAnsi="Times New Roman" w:cs="Times New Roman"/>
          <w:sz w:val="22"/>
          <w:szCs w:val="22"/>
        </w:rPr>
        <w:t>’</w:t>
      </w:r>
      <w:r w:rsidRPr="00196326">
        <w:rPr>
          <w:rFonts w:ascii="Times New Roman" w:hAnsi="Times New Roman" w:cs="Times New Roman"/>
          <w:sz w:val="22"/>
          <w:szCs w:val="22"/>
        </w:rPr>
        <w:t>s really concentrated</w:t>
      </w:r>
      <w:r>
        <w:rPr>
          <w:rFonts w:ascii="Times New Roman" w:hAnsi="Times New Roman" w:cs="Times New Roman"/>
          <w:sz w:val="22"/>
          <w:szCs w:val="22"/>
        </w:rPr>
        <w:t xml:space="preserve"> </w:t>
      </w:r>
      <w:r w:rsidRPr="00196326">
        <w:rPr>
          <w:rFonts w:ascii="Times New Roman" w:hAnsi="Times New Roman" w:cs="Times New Roman"/>
          <w:sz w:val="22"/>
          <w:szCs w:val="22"/>
        </w:rPr>
        <w:t>in that valley. It</w:t>
      </w:r>
      <w:r>
        <w:rPr>
          <w:rFonts w:ascii="Times New Roman" w:hAnsi="Times New Roman" w:cs="Times New Roman"/>
          <w:sz w:val="22"/>
          <w:szCs w:val="22"/>
        </w:rPr>
        <w:t>’</w:t>
      </w:r>
      <w:r w:rsidRPr="00196326">
        <w:rPr>
          <w:rFonts w:ascii="Times New Roman" w:hAnsi="Times New Roman" w:cs="Times New Roman"/>
          <w:sz w:val="22"/>
          <w:szCs w:val="22"/>
        </w:rPr>
        <w:t>s not like it's a 50-mile wid</w:t>
      </w:r>
      <w:r>
        <w:rPr>
          <w:rFonts w:ascii="Times New Roman" w:hAnsi="Times New Roman" w:cs="Times New Roman"/>
          <w:sz w:val="22"/>
          <w:szCs w:val="22"/>
        </w:rPr>
        <w:t xml:space="preserve">e </w:t>
      </w:r>
      <w:r w:rsidRPr="00196326">
        <w:rPr>
          <w:rFonts w:ascii="Times New Roman" w:hAnsi="Times New Roman" w:cs="Times New Roman"/>
          <w:sz w:val="22"/>
          <w:szCs w:val="22"/>
        </w:rPr>
        <w:t>valley or something.</w:t>
      </w:r>
      <w:r>
        <w:rPr>
          <w:rFonts w:ascii="Times New Roman" w:hAnsi="Times New Roman" w:cs="Times New Roman"/>
          <w:sz w:val="22"/>
          <w:szCs w:val="22"/>
        </w:rPr>
        <w:t>”</w:t>
      </w:r>
    </w:p>
    <w:p w14:paraId="6055A943" w14:textId="77777777" w:rsidR="00FC046A" w:rsidRPr="006D6E24" w:rsidRDefault="00FC046A" w:rsidP="00937470">
      <w:pPr>
        <w:pStyle w:val="EndnoteText"/>
        <w:rPr>
          <w:rFonts w:ascii="Times New Roman" w:hAnsi="Times New Roman" w:cs="Times New Roman"/>
          <w:sz w:val="22"/>
          <w:szCs w:val="22"/>
        </w:rPr>
      </w:pPr>
    </w:p>
  </w:endnote>
  <w:endnote w:id="114">
    <w:p w14:paraId="514B486E" w14:textId="050C8F24" w:rsidR="00FC046A" w:rsidRPr="009E6D19" w:rsidRDefault="00FC046A" w:rsidP="00937470">
      <w:pPr>
        <w:pStyle w:val="EndnoteText"/>
        <w:rPr>
          <w:rFonts w:ascii="Times New Roman" w:hAnsi="Times New Roman" w:cs="Times New Roman"/>
          <w:sz w:val="22"/>
          <w:szCs w:val="22"/>
        </w:rPr>
      </w:pPr>
      <w:r w:rsidRPr="006D6E24">
        <w:rPr>
          <w:rStyle w:val="EndnoteReference"/>
          <w:rFonts w:ascii="Times New Roman" w:hAnsi="Times New Roman" w:cs="Times New Roman"/>
          <w:sz w:val="22"/>
          <w:szCs w:val="22"/>
        </w:rPr>
        <w:endnoteRef/>
      </w:r>
      <w:r w:rsidRPr="006D6E24">
        <w:rPr>
          <w:rFonts w:ascii="Times New Roman" w:hAnsi="Times New Roman" w:cs="Times New Roman"/>
          <w:sz w:val="22"/>
          <w:szCs w:val="22"/>
        </w:rPr>
        <w:t xml:space="preserve"> </w:t>
      </w:r>
      <w:r>
        <w:rPr>
          <w:rFonts w:ascii="Times New Roman" w:hAnsi="Times New Roman" w:cs="Times New Roman"/>
          <w:sz w:val="22"/>
          <w:szCs w:val="22"/>
        </w:rPr>
        <w:t>In</w:t>
      </w:r>
      <w:r w:rsidRPr="006D6E24">
        <w:rPr>
          <w:rFonts w:ascii="Times New Roman" w:hAnsi="Times New Roman" w:cs="Times New Roman"/>
          <w:sz w:val="22"/>
          <w:szCs w:val="22"/>
        </w:rPr>
        <w:t xml:space="preserve"> </w:t>
      </w:r>
      <w:r>
        <w:rPr>
          <w:rFonts w:ascii="Times New Roman" w:hAnsi="Times New Roman" w:cs="Times New Roman"/>
          <w:sz w:val="22"/>
          <w:szCs w:val="22"/>
        </w:rPr>
        <w:t xml:space="preserve">the Opinion at </w:t>
      </w:r>
      <w:r w:rsidRPr="006D6E24">
        <w:rPr>
          <w:rFonts w:ascii="Times New Roman" w:hAnsi="Times New Roman" w:cs="Times New Roman"/>
          <w:sz w:val="22"/>
          <w:szCs w:val="22"/>
        </w:rPr>
        <w:t>57</w:t>
      </w:r>
      <w:r>
        <w:rPr>
          <w:rFonts w:ascii="Times New Roman" w:hAnsi="Times New Roman" w:cs="Times New Roman"/>
          <w:sz w:val="22"/>
          <w:szCs w:val="22"/>
        </w:rPr>
        <w:t xml:space="preserve">, the Court summarily concluded in determining the lack of need for pollution liability coverage: </w:t>
      </w:r>
      <w:r w:rsidRPr="00A51006">
        <w:rPr>
          <w:rFonts w:ascii="Times New Roman" w:hAnsi="Times New Roman" w:cs="Times New Roman"/>
          <w:sz w:val="22"/>
          <w:szCs w:val="22"/>
        </w:rPr>
        <w:t xml:space="preserve">“Peak itself did not engage in mining practices that spread pollutants, and it already had systems in place to control the fluid runoff when it </w:t>
      </w:r>
      <w:r w:rsidRPr="009E6D19">
        <w:rPr>
          <w:rFonts w:ascii="Times New Roman" w:hAnsi="Times New Roman" w:cs="Times New Roman"/>
          <w:sz w:val="22"/>
          <w:szCs w:val="22"/>
        </w:rPr>
        <w:t>cleaned equipment used in polluted mines.”</w:t>
      </w:r>
    </w:p>
    <w:p w14:paraId="50267CAD" w14:textId="77777777" w:rsidR="00FC046A" w:rsidRPr="009E6D19" w:rsidRDefault="00FC046A" w:rsidP="00937470">
      <w:pPr>
        <w:pStyle w:val="EndnoteText"/>
        <w:rPr>
          <w:rFonts w:ascii="Times New Roman" w:hAnsi="Times New Roman" w:cs="Times New Roman"/>
          <w:sz w:val="22"/>
          <w:szCs w:val="22"/>
        </w:rPr>
      </w:pPr>
    </w:p>
  </w:endnote>
  <w:endnote w:id="115">
    <w:p w14:paraId="13B425B7" w14:textId="472ED558" w:rsidR="00FC046A" w:rsidRPr="007904B2" w:rsidRDefault="00FC046A" w:rsidP="00937470">
      <w:pPr>
        <w:pStyle w:val="EndnoteText"/>
        <w:rPr>
          <w:rFonts w:ascii="Times New Roman" w:hAnsi="Times New Roman" w:cs="Times New Roman"/>
          <w:sz w:val="22"/>
          <w:szCs w:val="22"/>
        </w:rPr>
      </w:pPr>
      <w:r w:rsidRPr="007904B2">
        <w:rPr>
          <w:rStyle w:val="EndnoteReference"/>
          <w:rFonts w:ascii="Times New Roman" w:hAnsi="Times New Roman" w:cs="Times New Roman"/>
          <w:sz w:val="22"/>
          <w:szCs w:val="22"/>
        </w:rPr>
        <w:endnoteRef/>
      </w:r>
      <w:r w:rsidRPr="007904B2">
        <w:rPr>
          <w:rFonts w:ascii="Times New Roman" w:hAnsi="Times New Roman" w:cs="Times New Roman"/>
          <w:sz w:val="22"/>
          <w:szCs w:val="22"/>
        </w:rPr>
        <w:t xml:space="preserve"> The position of the sole expert witness for the government, Donald Riggin, </w:t>
      </w:r>
      <w:r>
        <w:rPr>
          <w:rFonts w:ascii="Times New Roman" w:hAnsi="Times New Roman" w:cs="Times New Roman"/>
          <w:sz w:val="22"/>
          <w:szCs w:val="22"/>
        </w:rPr>
        <w:t xml:space="preserve">in his expert report at 9-10, ¶ 26, </w:t>
      </w:r>
      <w:r w:rsidRPr="007904B2">
        <w:rPr>
          <w:rFonts w:ascii="Times New Roman" w:hAnsi="Times New Roman" w:cs="Times New Roman"/>
          <w:sz w:val="22"/>
          <w:szCs w:val="22"/>
        </w:rPr>
        <w:t xml:space="preserve">was that, absent either a history of losses or access to the Commercial Lines Manual, it was not possible to price premiums.  However, </w:t>
      </w:r>
      <w:r>
        <w:rPr>
          <w:rFonts w:ascii="Times New Roman" w:hAnsi="Times New Roman" w:cs="Times New Roman"/>
          <w:sz w:val="22"/>
          <w:szCs w:val="22"/>
        </w:rPr>
        <w:t xml:space="preserve">in </w:t>
      </w:r>
      <w:r w:rsidRPr="007904B2">
        <w:rPr>
          <w:rFonts w:ascii="Times New Roman" w:hAnsi="Times New Roman" w:cs="Times New Roman"/>
          <w:sz w:val="22"/>
          <w:szCs w:val="22"/>
        </w:rPr>
        <w:t>cross examin</w:t>
      </w:r>
      <w:r>
        <w:rPr>
          <w:rFonts w:ascii="Times New Roman" w:hAnsi="Times New Roman" w:cs="Times New Roman"/>
          <w:sz w:val="22"/>
          <w:szCs w:val="22"/>
        </w:rPr>
        <w:t xml:space="preserve">ation, Riggin </w:t>
      </w:r>
      <w:r w:rsidRPr="007904B2">
        <w:rPr>
          <w:rFonts w:ascii="Times New Roman" w:hAnsi="Times New Roman" w:cs="Times New Roman"/>
          <w:sz w:val="22"/>
          <w:szCs w:val="22"/>
        </w:rPr>
        <w:t xml:space="preserve">admitted there were instances in which premiums could be developed without prior loss history. In fact, </w:t>
      </w:r>
      <w:r>
        <w:rPr>
          <w:rFonts w:ascii="Times New Roman" w:hAnsi="Times New Roman" w:cs="Times New Roman"/>
          <w:sz w:val="22"/>
          <w:szCs w:val="22"/>
        </w:rPr>
        <w:t xml:space="preserve">Mr. Riggin’s own </w:t>
      </w:r>
      <w:r w:rsidRPr="00E54DF4">
        <w:rPr>
          <w:rFonts w:ascii="Times New Roman" w:hAnsi="Times New Roman" w:cs="Times New Roman"/>
          <w:sz w:val="22"/>
          <w:szCs w:val="22"/>
          <w:u w:val="single"/>
        </w:rPr>
        <w:t>undisclosed</w:t>
      </w:r>
      <w:r>
        <w:rPr>
          <w:rFonts w:ascii="Times New Roman" w:hAnsi="Times New Roman" w:cs="Times New Roman"/>
          <w:sz w:val="22"/>
          <w:szCs w:val="22"/>
        </w:rPr>
        <w:t xml:space="preserve"> </w:t>
      </w:r>
      <w:r w:rsidRPr="007904B2">
        <w:rPr>
          <w:rFonts w:ascii="Times New Roman" w:hAnsi="Times New Roman" w:cs="Times New Roman"/>
          <w:sz w:val="22"/>
          <w:szCs w:val="22"/>
        </w:rPr>
        <w:t xml:space="preserve">publications espoused views </w:t>
      </w:r>
      <w:r>
        <w:rPr>
          <w:rFonts w:ascii="Times New Roman" w:hAnsi="Times New Roman" w:cs="Times New Roman"/>
          <w:sz w:val="22"/>
          <w:szCs w:val="22"/>
        </w:rPr>
        <w:t xml:space="preserve">directly </w:t>
      </w:r>
      <w:r w:rsidRPr="007904B2">
        <w:rPr>
          <w:rFonts w:ascii="Times New Roman" w:hAnsi="Times New Roman" w:cs="Times New Roman"/>
          <w:sz w:val="22"/>
          <w:szCs w:val="22"/>
        </w:rPr>
        <w:t xml:space="preserve">contrary to that of </w:t>
      </w:r>
      <w:r>
        <w:rPr>
          <w:rFonts w:ascii="Times New Roman" w:hAnsi="Times New Roman" w:cs="Times New Roman"/>
          <w:sz w:val="22"/>
          <w:szCs w:val="22"/>
        </w:rPr>
        <w:t xml:space="preserve">his own </w:t>
      </w:r>
      <w:r w:rsidRPr="007904B2">
        <w:rPr>
          <w:rFonts w:ascii="Times New Roman" w:hAnsi="Times New Roman" w:cs="Times New Roman"/>
          <w:sz w:val="22"/>
          <w:szCs w:val="22"/>
        </w:rPr>
        <w:t>report and testimony</w:t>
      </w:r>
      <w:r>
        <w:rPr>
          <w:rFonts w:ascii="Times New Roman" w:hAnsi="Times New Roman" w:cs="Times New Roman"/>
          <w:sz w:val="22"/>
          <w:szCs w:val="22"/>
        </w:rPr>
        <w:t xml:space="preserve">, </w:t>
      </w:r>
      <w:r w:rsidRPr="007904B2">
        <w:rPr>
          <w:rFonts w:ascii="Times New Roman" w:hAnsi="Times New Roman" w:cs="Times New Roman"/>
          <w:sz w:val="22"/>
          <w:szCs w:val="22"/>
        </w:rPr>
        <w:t xml:space="preserve">leading to the </w:t>
      </w:r>
      <w:r>
        <w:rPr>
          <w:rFonts w:ascii="Times New Roman" w:hAnsi="Times New Roman" w:cs="Times New Roman"/>
          <w:sz w:val="22"/>
          <w:szCs w:val="22"/>
        </w:rPr>
        <w:t>C</w:t>
      </w:r>
      <w:r w:rsidRPr="007904B2">
        <w:rPr>
          <w:rFonts w:ascii="Times New Roman" w:hAnsi="Times New Roman" w:cs="Times New Roman"/>
          <w:sz w:val="22"/>
          <w:szCs w:val="22"/>
        </w:rPr>
        <w:t>ourt expressing concern about the testimony of the government’s sole substantive witness.</w:t>
      </w:r>
      <w:r>
        <w:rPr>
          <w:rFonts w:ascii="Times New Roman" w:hAnsi="Times New Roman" w:cs="Times New Roman"/>
          <w:sz w:val="22"/>
          <w:szCs w:val="22"/>
        </w:rPr>
        <w:t xml:space="preserve">  </w:t>
      </w:r>
      <w:r w:rsidRPr="007904B2">
        <w:rPr>
          <w:rFonts w:ascii="Times New Roman" w:hAnsi="Times New Roman" w:cs="Times New Roman"/>
          <w:sz w:val="22"/>
          <w:szCs w:val="22"/>
        </w:rPr>
        <w:t xml:space="preserve">See </w:t>
      </w:r>
      <w:r>
        <w:rPr>
          <w:rFonts w:ascii="Times New Roman" w:hAnsi="Times New Roman" w:cs="Times New Roman"/>
          <w:sz w:val="22"/>
          <w:szCs w:val="22"/>
        </w:rPr>
        <w:t xml:space="preserve">Riggin </w:t>
      </w:r>
      <w:r w:rsidRPr="007904B2">
        <w:rPr>
          <w:rFonts w:ascii="Times New Roman" w:hAnsi="Times New Roman" w:cs="Times New Roman"/>
          <w:sz w:val="22"/>
          <w:szCs w:val="22"/>
        </w:rPr>
        <w:t>testimony</w:t>
      </w:r>
      <w:r>
        <w:rPr>
          <w:rFonts w:ascii="Times New Roman" w:hAnsi="Times New Roman" w:cs="Times New Roman"/>
          <w:sz w:val="22"/>
          <w:szCs w:val="22"/>
        </w:rPr>
        <w:t xml:space="preserve">, Tr. </w:t>
      </w:r>
      <w:r w:rsidRPr="007904B2">
        <w:rPr>
          <w:rFonts w:ascii="Times New Roman" w:hAnsi="Times New Roman" w:cs="Times New Roman"/>
          <w:sz w:val="22"/>
          <w:szCs w:val="22"/>
        </w:rPr>
        <w:t>at 862-863</w:t>
      </w:r>
      <w:r>
        <w:rPr>
          <w:rFonts w:ascii="Times New Roman" w:hAnsi="Times New Roman" w:cs="Times New Roman"/>
          <w:sz w:val="22"/>
          <w:szCs w:val="22"/>
        </w:rPr>
        <w:t>, 904-905, 910</w:t>
      </w:r>
      <w:r w:rsidRPr="007904B2">
        <w:rPr>
          <w:rFonts w:ascii="Times New Roman" w:hAnsi="Times New Roman" w:cs="Times New Roman"/>
          <w:sz w:val="22"/>
          <w:szCs w:val="22"/>
        </w:rPr>
        <w:t xml:space="preserve"> and Exhibit 136-R (Opening Expert Report of Donald J. Riggin, March 27, 2017).</w:t>
      </w:r>
    </w:p>
    <w:p w14:paraId="01179F46" w14:textId="77777777" w:rsidR="00FC046A" w:rsidRPr="0020333A" w:rsidRDefault="00FC046A" w:rsidP="00937470">
      <w:pPr>
        <w:pStyle w:val="EndnoteText"/>
        <w:rPr>
          <w:rFonts w:ascii="Times New Roman" w:hAnsi="Times New Roman" w:cs="Times New Roman"/>
          <w:sz w:val="22"/>
          <w:szCs w:val="22"/>
        </w:rPr>
      </w:pPr>
    </w:p>
  </w:endnote>
  <w:endnote w:id="116">
    <w:p w14:paraId="73E11989" w14:textId="2CF86D7C" w:rsidR="00FC046A" w:rsidRPr="00FF3FA7" w:rsidRDefault="00FC046A" w:rsidP="00104695">
      <w:pPr>
        <w:pStyle w:val="EndnoteText"/>
        <w:rPr>
          <w:rFonts w:ascii="Times New Roman" w:hAnsi="Times New Roman" w:cs="Times New Roman"/>
          <w:sz w:val="22"/>
          <w:szCs w:val="22"/>
        </w:rPr>
      </w:pPr>
      <w:r w:rsidRPr="00FF3FA7">
        <w:rPr>
          <w:rStyle w:val="EndnoteReference"/>
          <w:rFonts w:ascii="Times New Roman" w:hAnsi="Times New Roman" w:cs="Times New Roman"/>
          <w:sz w:val="22"/>
          <w:szCs w:val="22"/>
        </w:rPr>
        <w:endnoteRef/>
      </w:r>
      <w:r w:rsidRPr="00FF3FA7">
        <w:rPr>
          <w:rFonts w:ascii="Times New Roman" w:hAnsi="Times New Roman" w:cs="Times New Roman"/>
          <w:sz w:val="22"/>
          <w:szCs w:val="22"/>
        </w:rPr>
        <w:t xml:space="preserve"> </w:t>
      </w:r>
      <w:r>
        <w:rPr>
          <w:rFonts w:ascii="Times New Roman" w:hAnsi="Times New Roman" w:cs="Times New Roman"/>
          <w:sz w:val="22"/>
          <w:szCs w:val="22"/>
        </w:rPr>
        <w:t xml:space="preserve">See </w:t>
      </w:r>
      <w:r w:rsidRPr="001B7B0A">
        <w:rPr>
          <w:rFonts w:ascii="Times New Roman" w:hAnsi="Times New Roman" w:cs="Times New Roman"/>
          <w:i/>
          <w:sz w:val="22"/>
          <w:szCs w:val="22"/>
        </w:rPr>
        <w:t>Gonzalez v. C.I.R.</w:t>
      </w:r>
      <w:r>
        <w:rPr>
          <w:rFonts w:ascii="Times New Roman" w:hAnsi="Times New Roman" w:cs="Times New Roman"/>
          <w:sz w:val="22"/>
          <w:szCs w:val="22"/>
        </w:rPr>
        <w:t xml:space="preserve">, </w:t>
      </w:r>
      <w:r w:rsidRPr="001B7B0A">
        <w:rPr>
          <w:rFonts w:ascii="Times New Roman" w:hAnsi="Times New Roman" w:cs="Times New Roman"/>
          <w:sz w:val="22"/>
          <w:szCs w:val="22"/>
        </w:rPr>
        <w:t>T.C. Memo. 1977-240</w:t>
      </w:r>
      <w:r>
        <w:rPr>
          <w:rFonts w:ascii="Times New Roman" w:hAnsi="Times New Roman" w:cs="Times New Roman"/>
          <w:sz w:val="22"/>
          <w:szCs w:val="22"/>
        </w:rPr>
        <w:t xml:space="preserve"> (1977) (holding that the tax court, as the f</w:t>
      </w:r>
      <w:r w:rsidRPr="00154734">
        <w:rPr>
          <w:rFonts w:ascii="Times New Roman" w:hAnsi="Times New Roman" w:cs="Times New Roman"/>
          <w:sz w:val="22"/>
          <w:szCs w:val="22"/>
        </w:rPr>
        <w:t>act-finder</w:t>
      </w:r>
      <w:r>
        <w:rPr>
          <w:rFonts w:ascii="Times New Roman" w:hAnsi="Times New Roman" w:cs="Times New Roman"/>
          <w:sz w:val="22"/>
          <w:szCs w:val="22"/>
        </w:rPr>
        <w:t>,</w:t>
      </w:r>
      <w:r w:rsidRPr="00154734">
        <w:rPr>
          <w:rFonts w:ascii="Times New Roman" w:hAnsi="Times New Roman" w:cs="Times New Roman"/>
          <w:sz w:val="22"/>
          <w:szCs w:val="22"/>
        </w:rPr>
        <w:t xml:space="preserve"> has </w:t>
      </w:r>
      <w:r>
        <w:rPr>
          <w:rFonts w:ascii="Times New Roman" w:hAnsi="Times New Roman" w:cs="Times New Roman"/>
          <w:sz w:val="22"/>
          <w:szCs w:val="22"/>
        </w:rPr>
        <w:t xml:space="preserve">the </w:t>
      </w:r>
      <w:r w:rsidRPr="00E61217">
        <w:rPr>
          <w:rFonts w:ascii="Times New Roman" w:hAnsi="Times New Roman" w:cs="Times New Roman"/>
          <w:sz w:val="22"/>
          <w:szCs w:val="22"/>
        </w:rPr>
        <w:t>responsibility of using</w:t>
      </w:r>
      <w:r>
        <w:rPr>
          <w:rFonts w:ascii="Times New Roman" w:hAnsi="Times New Roman" w:cs="Times New Roman"/>
          <w:sz w:val="22"/>
          <w:szCs w:val="22"/>
        </w:rPr>
        <w:t xml:space="preserve"> [its]</w:t>
      </w:r>
      <w:r w:rsidRPr="00E61217">
        <w:rPr>
          <w:rFonts w:ascii="Times New Roman" w:hAnsi="Times New Roman" w:cs="Times New Roman"/>
          <w:sz w:val="22"/>
          <w:szCs w:val="22"/>
        </w:rPr>
        <w:t xml:space="preserve"> best judgment as the fact-finder in reaching the conclusion which accords most satisfactorily with the record as a whole, taking into account the demeanor and credibility of the witnesses, including the petitioner</w:t>
      </w:r>
      <w:r>
        <w:rPr>
          <w:rFonts w:ascii="Times New Roman" w:hAnsi="Times New Roman" w:cs="Times New Roman"/>
          <w:sz w:val="22"/>
          <w:szCs w:val="22"/>
        </w:rPr>
        <w:t xml:space="preserve">).  See also </w:t>
      </w:r>
      <w:r w:rsidRPr="00A1648E">
        <w:rPr>
          <w:rFonts w:ascii="Times New Roman" w:hAnsi="Times New Roman" w:cs="Times New Roman"/>
          <w:i/>
          <w:sz w:val="22"/>
          <w:szCs w:val="22"/>
        </w:rPr>
        <w:t>Phipps v. C</w:t>
      </w:r>
      <w:r>
        <w:rPr>
          <w:rFonts w:ascii="Times New Roman" w:hAnsi="Times New Roman" w:cs="Times New Roman"/>
          <w:i/>
          <w:sz w:val="22"/>
          <w:szCs w:val="22"/>
        </w:rPr>
        <w:t>.</w:t>
      </w:r>
      <w:r w:rsidRPr="00A1648E">
        <w:rPr>
          <w:rFonts w:ascii="Times New Roman" w:hAnsi="Times New Roman" w:cs="Times New Roman"/>
          <w:i/>
          <w:sz w:val="22"/>
          <w:szCs w:val="22"/>
        </w:rPr>
        <w:t>I</w:t>
      </w:r>
      <w:r>
        <w:rPr>
          <w:rFonts w:ascii="Times New Roman" w:hAnsi="Times New Roman" w:cs="Times New Roman"/>
          <w:i/>
          <w:sz w:val="22"/>
          <w:szCs w:val="22"/>
        </w:rPr>
        <w:t>.</w:t>
      </w:r>
      <w:r w:rsidRPr="00A1648E">
        <w:rPr>
          <w:rFonts w:ascii="Times New Roman" w:hAnsi="Times New Roman" w:cs="Times New Roman"/>
          <w:i/>
          <w:sz w:val="22"/>
          <w:szCs w:val="22"/>
        </w:rPr>
        <w:t>R</w:t>
      </w:r>
      <w:r>
        <w:rPr>
          <w:rFonts w:ascii="Times New Roman" w:hAnsi="Times New Roman" w:cs="Times New Roman"/>
          <w:i/>
          <w:sz w:val="22"/>
          <w:szCs w:val="22"/>
        </w:rPr>
        <w:t>.</w:t>
      </w:r>
      <w:r w:rsidRPr="00467915">
        <w:rPr>
          <w:rFonts w:ascii="Times New Roman" w:hAnsi="Times New Roman" w:cs="Times New Roman"/>
          <w:sz w:val="22"/>
          <w:szCs w:val="22"/>
        </w:rPr>
        <w:t>, 127 F.2d 214</w:t>
      </w:r>
      <w:r>
        <w:rPr>
          <w:rFonts w:ascii="Times New Roman" w:hAnsi="Times New Roman" w:cs="Times New Roman"/>
          <w:sz w:val="22"/>
          <w:szCs w:val="22"/>
        </w:rPr>
        <w:t>, 217</w:t>
      </w:r>
      <w:r w:rsidRPr="00467915">
        <w:rPr>
          <w:rFonts w:ascii="Times New Roman" w:hAnsi="Times New Roman" w:cs="Times New Roman"/>
          <w:sz w:val="22"/>
          <w:szCs w:val="22"/>
        </w:rPr>
        <w:t xml:space="preserve"> (1942)</w:t>
      </w:r>
      <w:r>
        <w:rPr>
          <w:rFonts w:ascii="Times New Roman" w:hAnsi="Times New Roman" w:cs="Times New Roman"/>
          <w:sz w:val="22"/>
          <w:szCs w:val="22"/>
        </w:rPr>
        <w:t xml:space="preserve"> (holding that a</w:t>
      </w:r>
      <w:r w:rsidRPr="00DA6271">
        <w:rPr>
          <w:rFonts w:ascii="Times New Roman" w:hAnsi="Times New Roman" w:cs="Times New Roman"/>
          <w:sz w:val="22"/>
          <w:szCs w:val="22"/>
        </w:rPr>
        <w:t xml:space="preserve"> fact-finding body</w:t>
      </w:r>
      <w:r>
        <w:rPr>
          <w:rFonts w:ascii="Times New Roman" w:hAnsi="Times New Roman" w:cs="Times New Roman"/>
          <w:sz w:val="22"/>
          <w:szCs w:val="22"/>
        </w:rPr>
        <w:t xml:space="preserve"> such as the Board of Tax Appeals [or U.S. Tax Court] </w:t>
      </w:r>
      <w:r w:rsidRPr="006A0A2A">
        <w:rPr>
          <w:rFonts w:ascii="Times New Roman" w:hAnsi="Times New Roman" w:cs="Times New Roman"/>
          <w:sz w:val="22"/>
          <w:szCs w:val="22"/>
        </w:rPr>
        <w:t xml:space="preserve">may disregard the opinion of an expert and use its own judgment in arriving at value, </w:t>
      </w:r>
      <w:r w:rsidRPr="006A0A2A">
        <w:rPr>
          <w:rFonts w:ascii="Times New Roman" w:hAnsi="Times New Roman" w:cs="Times New Roman"/>
          <w:b/>
          <w:sz w:val="22"/>
          <w:szCs w:val="22"/>
        </w:rPr>
        <w:t>but it may not reject opinion evidence and make an arbitrary finding of value unsupported by any substantial evidence</w:t>
      </w:r>
      <w:r>
        <w:rPr>
          <w:rFonts w:ascii="Times New Roman" w:hAnsi="Times New Roman" w:cs="Times New Roman"/>
          <w:sz w:val="22"/>
          <w:szCs w:val="22"/>
        </w:rPr>
        <w:t xml:space="preserve">).  (Emphasis added).  See also </w:t>
      </w:r>
      <w:r w:rsidRPr="000D1611">
        <w:rPr>
          <w:rFonts w:ascii="Times New Roman" w:hAnsi="Times New Roman" w:cs="Times New Roman"/>
          <w:i/>
          <w:sz w:val="22"/>
          <w:szCs w:val="22"/>
        </w:rPr>
        <w:t>American Nat. Bank of Sapulpa, Okl. v. Bartlett</w:t>
      </w:r>
      <w:r w:rsidRPr="00FA77D0">
        <w:rPr>
          <w:rFonts w:ascii="Times New Roman" w:hAnsi="Times New Roman" w:cs="Times New Roman"/>
          <w:sz w:val="22"/>
          <w:szCs w:val="22"/>
        </w:rPr>
        <w:t>, 40 F.2d 21</w:t>
      </w:r>
      <w:r>
        <w:rPr>
          <w:rFonts w:ascii="Times New Roman" w:hAnsi="Times New Roman" w:cs="Times New Roman"/>
          <w:sz w:val="22"/>
          <w:szCs w:val="22"/>
        </w:rPr>
        <w:t>, 23</w:t>
      </w:r>
      <w:r w:rsidRPr="00FA77D0">
        <w:rPr>
          <w:rFonts w:ascii="Times New Roman" w:hAnsi="Times New Roman" w:cs="Times New Roman"/>
          <w:sz w:val="22"/>
          <w:szCs w:val="22"/>
        </w:rPr>
        <w:t xml:space="preserve"> (</w:t>
      </w:r>
      <w:r w:rsidRPr="000D1611">
        <w:rPr>
          <w:rFonts w:ascii="Times New Roman" w:hAnsi="Times New Roman" w:cs="Times New Roman"/>
          <w:sz w:val="22"/>
          <w:szCs w:val="22"/>
        </w:rPr>
        <w:t>10th Cir.</w:t>
      </w:r>
      <w:r>
        <w:rPr>
          <w:rFonts w:ascii="Times New Roman" w:hAnsi="Times New Roman" w:cs="Times New Roman"/>
          <w:sz w:val="22"/>
          <w:szCs w:val="22"/>
        </w:rPr>
        <w:t xml:space="preserve"> </w:t>
      </w:r>
      <w:r w:rsidRPr="00FA77D0">
        <w:rPr>
          <w:rFonts w:ascii="Times New Roman" w:hAnsi="Times New Roman" w:cs="Times New Roman"/>
          <w:sz w:val="22"/>
          <w:szCs w:val="22"/>
        </w:rPr>
        <w:t>1930)</w:t>
      </w:r>
      <w:r>
        <w:rPr>
          <w:rFonts w:ascii="Times New Roman" w:hAnsi="Times New Roman" w:cs="Times New Roman"/>
          <w:sz w:val="22"/>
          <w:szCs w:val="22"/>
        </w:rPr>
        <w:t xml:space="preserve"> (holding that the d</w:t>
      </w:r>
      <w:r w:rsidRPr="00104695">
        <w:rPr>
          <w:rFonts w:ascii="Times New Roman" w:hAnsi="Times New Roman" w:cs="Times New Roman"/>
          <w:sz w:val="22"/>
          <w:szCs w:val="22"/>
        </w:rPr>
        <w:t xml:space="preserve">isposition of case becomes </w:t>
      </w:r>
      <w:r w:rsidRPr="00B27007">
        <w:rPr>
          <w:rFonts w:ascii="Times New Roman" w:hAnsi="Times New Roman" w:cs="Times New Roman"/>
          <w:b/>
          <w:sz w:val="22"/>
          <w:szCs w:val="22"/>
        </w:rPr>
        <w:t>question of law for the trial court, where evidence is undisputed</w:t>
      </w:r>
      <w:r>
        <w:rPr>
          <w:rFonts w:ascii="Times New Roman" w:hAnsi="Times New Roman" w:cs="Times New Roman"/>
          <w:sz w:val="22"/>
          <w:szCs w:val="22"/>
        </w:rPr>
        <w:t xml:space="preserve"> such that a relevant fact is not in substantial dispute</w:t>
      </w:r>
      <w:r w:rsidRPr="00104695">
        <w:rPr>
          <w:rFonts w:ascii="Times New Roman" w:hAnsi="Times New Roman" w:cs="Times New Roman"/>
          <w:sz w:val="22"/>
          <w:szCs w:val="22"/>
        </w:rPr>
        <w:t xml:space="preserve"> and the real question is the conclusion to be drawn therefrom</w:t>
      </w:r>
      <w:r>
        <w:rPr>
          <w:rFonts w:ascii="Times New Roman" w:hAnsi="Times New Roman" w:cs="Times New Roman"/>
          <w:sz w:val="22"/>
          <w:szCs w:val="22"/>
        </w:rPr>
        <w:t xml:space="preserve"> by the trial court).  (Emphasis added).  See also </w:t>
      </w:r>
      <w:r w:rsidRPr="007650D4">
        <w:rPr>
          <w:rFonts w:ascii="Times New Roman" w:hAnsi="Times New Roman" w:cs="Times New Roman"/>
          <w:i/>
          <w:sz w:val="22"/>
          <w:szCs w:val="22"/>
        </w:rPr>
        <w:t>Nelson v. Montgomery Ward &amp; Co.</w:t>
      </w:r>
      <w:r w:rsidRPr="007650D4">
        <w:rPr>
          <w:rFonts w:ascii="Times New Roman" w:hAnsi="Times New Roman" w:cs="Times New Roman"/>
          <w:sz w:val="22"/>
          <w:szCs w:val="22"/>
        </w:rPr>
        <w:t>, 312 U.S. 373</w:t>
      </w:r>
      <w:r>
        <w:rPr>
          <w:rFonts w:ascii="Times New Roman" w:hAnsi="Times New Roman" w:cs="Times New Roman"/>
          <w:sz w:val="22"/>
          <w:szCs w:val="22"/>
        </w:rPr>
        <w:t>, 376</w:t>
      </w:r>
      <w:r w:rsidRPr="007650D4">
        <w:rPr>
          <w:rFonts w:ascii="Times New Roman" w:hAnsi="Times New Roman" w:cs="Times New Roman"/>
          <w:sz w:val="22"/>
          <w:szCs w:val="22"/>
        </w:rPr>
        <w:t xml:space="preserve"> (1941)</w:t>
      </w:r>
      <w:r>
        <w:rPr>
          <w:rFonts w:ascii="Times New Roman" w:hAnsi="Times New Roman" w:cs="Times New Roman"/>
          <w:sz w:val="22"/>
          <w:szCs w:val="22"/>
        </w:rPr>
        <w:t xml:space="preserve"> (holding that t</w:t>
      </w:r>
      <w:r w:rsidRPr="006C7E70">
        <w:rPr>
          <w:rFonts w:ascii="Times New Roman" w:hAnsi="Times New Roman" w:cs="Times New Roman"/>
          <w:sz w:val="22"/>
          <w:szCs w:val="22"/>
        </w:rPr>
        <w:t xml:space="preserve">he effect of admitted </w:t>
      </w:r>
      <w:r>
        <w:rPr>
          <w:rFonts w:ascii="Times New Roman" w:hAnsi="Times New Roman" w:cs="Times New Roman"/>
          <w:sz w:val="22"/>
          <w:szCs w:val="22"/>
        </w:rPr>
        <w:t xml:space="preserve">[and uncontroverted] </w:t>
      </w:r>
      <w:r w:rsidRPr="006C7E70">
        <w:rPr>
          <w:rFonts w:ascii="Times New Roman" w:hAnsi="Times New Roman" w:cs="Times New Roman"/>
          <w:sz w:val="22"/>
          <w:szCs w:val="22"/>
        </w:rPr>
        <w:t>facts</w:t>
      </w:r>
      <w:r>
        <w:rPr>
          <w:rFonts w:ascii="Times New Roman" w:hAnsi="Times New Roman" w:cs="Times New Roman"/>
          <w:sz w:val="22"/>
          <w:szCs w:val="22"/>
        </w:rPr>
        <w:t xml:space="preserve"> </w:t>
      </w:r>
      <w:r w:rsidRPr="006C7E70">
        <w:rPr>
          <w:rFonts w:ascii="Times New Roman" w:hAnsi="Times New Roman" w:cs="Times New Roman"/>
          <w:sz w:val="22"/>
          <w:szCs w:val="22"/>
        </w:rPr>
        <w:t>is a question of law</w:t>
      </w:r>
      <w:r>
        <w:rPr>
          <w:rFonts w:ascii="Times New Roman" w:hAnsi="Times New Roman" w:cs="Times New Roman"/>
          <w:sz w:val="22"/>
          <w:szCs w:val="22"/>
        </w:rPr>
        <w:t>)</w:t>
      </w:r>
      <w:r w:rsidRPr="006C7E70">
        <w:rPr>
          <w:rFonts w:ascii="Times New Roman" w:hAnsi="Times New Roman" w:cs="Times New Roman"/>
          <w:sz w:val="22"/>
          <w:szCs w:val="22"/>
        </w:rPr>
        <w:t>.</w:t>
      </w:r>
    </w:p>
    <w:p w14:paraId="6C92A988" w14:textId="77777777" w:rsidR="00FC046A" w:rsidRPr="00FF3FA7" w:rsidRDefault="00FC046A">
      <w:pPr>
        <w:pStyle w:val="EndnoteText"/>
        <w:rPr>
          <w:rFonts w:ascii="Times New Roman" w:hAnsi="Times New Roman" w:cs="Times New Roman"/>
          <w:sz w:val="22"/>
          <w:szCs w:val="22"/>
        </w:rPr>
      </w:pPr>
    </w:p>
  </w:endnote>
  <w:endnote w:id="117">
    <w:p w14:paraId="0245DFFB" w14:textId="3B48495E" w:rsidR="00FC046A" w:rsidRPr="0020333A" w:rsidRDefault="00FC046A" w:rsidP="00937470">
      <w:pPr>
        <w:pStyle w:val="EndnoteText"/>
        <w:rPr>
          <w:rFonts w:ascii="Times New Roman" w:hAnsi="Times New Roman" w:cs="Times New Roman"/>
          <w:sz w:val="22"/>
          <w:szCs w:val="22"/>
        </w:rPr>
      </w:pPr>
      <w:r w:rsidRPr="0020333A">
        <w:rPr>
          <w:rStyle w:val="EndnoteReference"/>
          <w:rFonts w:ascii="Times New Roman" w:hAnsi="Times New Roman" w:cs="Times New Roman"/>
          <w:sz w:val="22"/>
          <w:szCs w:val="22"/>
        </w:rPr>
        <w:endnoteRef/>
      </w:r>
      <w:r w:rsidRPr="0020333A">
        <w:rPr>
          <w:rFonts w:ascii="Times New Roman" w:hAnsi="Times New Roman" w:cs="Times New Roman"/>
          <w:sz w:val="22"/>
          <w:szCs w:val="22"/>
        </w:rPr>
        <w:t xml:space="preserve"> See Exhibit 136-R (Opening Expert Report of Donald J. Riggin, March 27, 2017).</w:t>
      </w:r>
    </w:p>
    <w:p w14:paraId="4DAE3F5B" w14:textId="77777777" w:rsidR="00FC046A" w:rsidRDefault="00FC046A" w:rsidP="00937470">
      <w:pPr>
        <w:pStyle w:val="EndnoteText"/>
      </w:pPr>
    </w:p>
  </w:endnote>
  <w:endnote w:id="118">
    <w:p w14:paraId="30C15A9D" w14:textId="6DAB3E75" w:rsidR="00FC046A" w:rsidRDefault="00FC046A" w:rsidP="00937470">
      <w:pPr>
        <w:pStyle w:val="EndnoteText"/>
        <w:rPr>
          <w:rFonts w:ascii="Times New Roman" w:hAnsi="Times New Roman" w:cs="Times New Roman"/>
          <w:sz w:val="22"/>
          <w:szCs w:val="22"/>
        </w:rPr>
      </w:pPr>
      <w:r w:rsidRPr="00F228C9">
        <w:rPr>
          <w:rStyle w:val="EndnoteReference"/>
          <w:rFonts w:ascii="Times New Roman" w:hAnsi="Times New Roman" w:cs="Times New Roman"/>
          <w:sz w:val="22"/>
          <w:szCs w:val="22"/>
        </w:rPr>
        <w:endnoteRef/>
      </w:r>
      <w:r w:rsidRPr="00F228C9">
        <w:rPr>
          <w:rFonts w:ascii="Times New Roman" w:hAnsi="Times New Roman" w:cs="Times New Roman"/>
          <w:sz w:val="22"/>
          <w:szCs w:val="22"/>
        </w:rPr>
        <w:t xml:space="preserve"> See Opinion</w:t>
      </w:r>
      <w:r>
        <w:rPr>
          <w:rFonts w:ascii="Times New Roman" w:hAnsi="Times New Roman" w:cs="Times New Roman"/>
          <w:sz w:val="22"/>
          <w:szCs w:val="22"/>
        </w:rPr>
        <w:t xml:space="preserve"> at 61</w:t>
      </w:r>
      <w:r w:rsidRPr="00F228C9">
        <w:rPr>
          <w:rFonts w:ascii="Times New Roman" w:hAnsi="Times New Roman" w:cs="Times New Roman"/>
          <w:sz w:val="22"/>
          <w:szCs w:val="22"/>
        </w:rPr>
        <w:t>.</w:t>
      </w:r>
    </w:p>
    <w:p w14:paraId="04BE0E62" w14:textId="77777777" w:rsidR="00FC046A" w:rsidRPr="00F228C9" w:rsidRDefault="00FC046A" w:rsidP="00937470">
      <w:pPr>
        <w:pStyle w:val="EndnoteText"/>
        <w:rPr>
          <w:rFonts w:ascii="Times New Roman" w:hAnsi="Times New Roman" w:cs="Times New Roman"/>
          <w:sz w:val="22"/>
          <w:szCs w:val="22"/>
        </w:rPr>
      </w:pPr>
    </w:p>
  </w:endnote>
  <w:endnote w:id="119">
    <w:p w14:paraId="0A3A74CF" w14:textId="45560232" w:rsidR="00FC046A" w:rsidRDefault="00FC046A" w:rsidP="00937470">
      <w:pPr>
        <w:pStyle w:val="EndnoteText"/>
        <w:rPr>
          <w:rFonts w:ascii="Times New Roman" w:hAnsi="Times New Roman" w:cs="Times New Roman"/>
          <w:sz w:val="22"/>
          <w:szCs w:val="22"/>
        </w:rPr>
      </w:pPr>
      <w:r w:rsidRPr="00AE1B20">
        <w:rPr>
          <w:rStyle w:val="EndnoteReference"/>
          <w:rFonts w:ascii="Times New Roman" w:hAnsi="Times New Roman" w:cs="Times New Roman"/>
          <w:sz w:val="22"/>
          <w:szCs w:val="22"/>
        </w:rPr>
        <w:endnoteRef/>
      </w:r>
      <w:r w:rsidRPr="00AE1B20">
        <w:rPr>
          <w:rFonts w:ascii="Times New Roman" w:hAnsi="Times New Roman" w:cs="Times New Roman"/>
          <w:sz w:val="22"/>
          <w:szCs w:val="22"/>
        </w:rPr>
        <w:t xml:space="preserve"> See testimony of Donald J. Riggin</w:t>
      </w:r>
      <w:r>
        <w:rPr>
          <w:rFonts w:ascii="Times New Roman" w:hAnsi="Times New Roman" w:cs="Times New Roman"/>
          <w:sz w:val="22"/>
          <w:szCs w:val="22"/>
        </w:rPr>
        <w:t>, Tr.</w:t>
      </w:r>
      <w:r w:rsidRPr="00AE1B20">
        <w:rPr>
          <w:rFonts w:ascii="Times New Roman" w:hAnsi="Times New Roman" w:cs="Times New Roman"/>
          <w:sz w:val="22"/>
          <w:szCs w:val="22"/>
        </w:rPr>
        <w:t xml:space="preserve"> at 925 and Exhibit 136-R (Opening Expert Report of Donald J. Riggin, March 27, 2017).</w:t>
      </w:r>
      <w:r>
        <w:rPr>
          <w:rFonts w:ascii="Times New Roman" w:hAnsi="Times New Roman" w:cs="Times New Roman"/>
          <w:sz w:val="22"/>
          <w:szCs w:val="22"/>
        </w:rPr>
        <w:t xml:space="preserve">  Mr. Riggin, as the government’s sole expert witness,</w:t>
      </w:r>
      <w:r w:rsidRPr="00A73F91">
        <w:rPr>
          <w:rFonts w:ascii="Times New Roman" w:hAnsi="Times New Roman" w:cs="Times New Roman"/>
          <w:sz w:val="22"/>
          <w:szCs w:val="22"/>
        </w:rPr>
        <w:t xml:space="preserve"> had no opinion regarding the specific pricing of even a single policy </w:t>
      </w:r>
      <w:r>
        <w:rPr>
          <w:rFonts w:ascii="Times New Roman" w:hAnsi="Times New Roman" w:cs="Times New Roman"/>
          <w:sz w:val="22"/>
          <w:szCs w:val="22"/>
        </w:rPr>
        <w:t xml:space="preserve">among the thousands at issue in trial </w:t>
      </w:r>
      <w:r w:rsidRPr="00A73F91">
        <w:rPr>
          <w:rFonts w:ascii="Times New Roman" w:hAnsi="Times New Roman" w:cs="Times New Roman"/>
          <w:sz w:val="22"/>
          <w:szCs w:val="22"/>
        </w:rPr>
        <w:t xml:space="preserve">and </w:t>
      </w:r>
      <w:r>
        <w:rPr>
          <w:rFonts w:ascii="Times New Roman" w:hAnsi="Times New Roman" w:cs="Times New Roman"/>
          <w:sz w:val="22"/>
          <w:szCs w:val="22"/>
        </w:rPr>
        <w:t xml:space="preserve">declined to </w:t>
      </w:r>
      <w:r w:rsidRPr="00A73F91">
        <w:rPr>
          <w:rFonts w:ascii="Times New Roman" w:hAnsi="Times New Roman" w:cs="Times New Roman"/>
          <w:sz w:val="22"/>
          <w:szCs w:val="22"/>
        </w:rPr>
        <w:t>make any determination in his expert report that the premiums charged by Reserve</w:t>
      </w:r>
      <w:r>
        <w:rPr>
          <w:rFonts w:ascii="Times New Roman" w:hAnsi="Times New Roman" w:cs="Times New Roman"/>
          <w:sz w:val="22"/>
          <w:szCs w:val="22"/>
        </w:rPr>
        <w:t xml:space="preserve"> or PoolRe</w:t>
      </w:r>
      <w:r w:rsidRPr="00A73F91">
        <w:rPr>
          <w:rFonts w:ascii="Times New Roman" w:hAnsi="Times New Roman" w:cs="Times New Roman"/>
          <w:sz w:val="22"/>
          <w:szCs w:val="22"/>
        </w:rPr>
        <w:t xml:space="preserve"> were </w:t>
      </w:r>
      <w:r>
        <w:rPr>
          <w:rFonts w:ascii="Times New Roman" w:hAnsi="Times New Roman" w:cs="Times New Roman"/>
          <w:sz w:val="22"/>
          <w:szCs w:val="22"/>
        </w:rPr>
        <w:t xml:space="preserve">either </w:t>
      </w:r>
      <w:r w:rsidRPr="00A73F91">
        <w:rPr>
          <w:rFonts w:ascii="Times New Roman" w:hAnsi="Times New Roman" w:cs="Times New Roman"/>
          <w:sz w:val="22"/>
          <w:szCs w:val="22"/>
        </w:rPr>
        <w:t>over</w:t>
      </w:r>
      <w:r>
        <w:rPr>
          <w:rFonts w:ascii="Times New Roman" w:hAnsi="Times New Roman" w:cs="Times New Roman"/>
          <w:sz w:val="22"/>
          <w:szCs w:val="22"/>
        </w:rPr>
        <w:t>stated or under</w:t>
      </w:r>
      <w:r w:rsidRPr="00A73F91">
        <w:rPr>
          <w:rFonts w:ascii="Times New Roman" w:hAnsi="Times New Roman" w:cs="Times New Roman"/>
          <w:sz w:val="22"/>
          <w:szCs w:val="22"/>
        </w:rPr>
        <w:t>stated</w:t>
      </w:r>
      <w:r>
        <w:rPr>
          <w:rFonts w:ascii="Times New Roman" w:hAnsi="Times New Roman" w:cs="Times New Roman"/>
          <w:sz w:val="22"/>
          <w:szCs w:val="22"/>
        </w:rPr>
        <w:t xml:space="preserve"> or reasonable in amount. </w:t>
      </w:r>
    </w:p>
    <w:p w14:paraId="7F9FED4E" w14:textId="77777777" w:rsidR="00FC046A" w:rsidRPr="00F2532D" w:rsidRDefault="00FC046A" w:rsidP="00937470">
      <w:pPr>
        <w:pStyle w:val="EndnoteText"/>
        <w:rPr>
          <w:rFonts w:ascii="Times New Roman" w:hAnsi="Times New Roman" w:cs="Times New Roman"/>
          <w:sz w:val="22"/>
          <w:szCs w:val="22"/>
        </w:rPr>
      </w:pPr>
    </w:p>
  </w:endnote>
  <w:endnote w:id="120">
    <w:p w14:paraId="355FCDCF" w14:textId="0764FE17" w:rsidR="00FC046A" w:rsidRDefault="00FC046A" w:rsidP="00937470">
      <w:pPr>
        <w:pStyle w:val="EndnoteText"/>
        <w:rPr>
          <w:rFonts w:ascii="Times New Roman" w:hAnsi="Times New Roman" w:cs="Times New Roman"/>
          <w:sz w:val="22"/>
          <w:szCs w:val="22"/>
        </w:rPr>
      </w:pPr>
      <w:r w:rsidRPr="00567250">
        <w:rPr>
          <w:rStyle w:val="EndnoteReference"/>
          <w:rFonts w:ascii="Times New Roman" w:hAnsi="Times New Roman" w:cs="Times New Roman"/>
          <w:sz w:val="22"/>
          <w:szCs w:val="22"/>
        </w:rPr>
        <w:endnoteRef/>
      </w:r>
      <w:r w:rsidRPr="00567250">
        <w:rPr>
          <w:rFonts w:ascii="Times New Roman" w:hAnsi="Times New Roman" w:cs="Times New Roman"/>
          <w:sz w:val="22"/>
          <w:szCs w:val="22"/>
        </w:rPr>
        <w:t xml:space="preserve"> </w:t>
      </w:r>
      <w:r w:rsidRPr="00AC3AB6">
        <w:rPr>
          <w:rFonts w:ascii="Times New Roman" w:hAnsi="Times New Roman" w:cs="Times New Roman"/>
          <w:sz w:val="22"/>
          <w:szCs w:val="22"/>
        </w:rPr>
        <w:t xml:space="preserve">See testimony of Esperanza Mead, </w:t>
      </w:r>
      <w:r>
        <w:rPr>
          <w:rFonts w:ascii="Times New Roman" w:hAnsi="Times New Roman" w:cs="Times New Roman"/>
          <w:sz w:val="22"/>
          <w:szCs w:val="22"/>
        </w:rPr>
        <w:t>Tr.</w:t>
      </w:r>
      <w:r w:rsidRPr="00AC3AB6">
        <w:rPr>
          <w:rFonts w:ascii="Times New Roman" w:hAnsi="Times New Roman" w:cs="Times New Roman"/>
          <w:sz w:val="22"/>
          <w:szCs w:val="22"/>
        </w:rPr>
        <w:t xml:space="preserve"> at 407-436, and Exhibit 113-P (Expert Actuarial Peer Review Report of Esperanza Mead</w:t>
      </w:r>
      <w:r>
        <w:rPr>
          <w:rFonts w:ascii="Times New Roman" w:hAnsi="Times New Roman" w:cs="Times New Roman"/>
          <w:sz w:val="22"/>
          <w:szCs w:val="22"/>
        </w:rPr>
        <w:t>,</w:t>
      </w:r>
      <w:r w:rsidRPr="00AC3AB6">
        <w:rPr>
          <w:rFonts w:ascii="Times New Roman" w:hAnsi="Times New Roman" w:cs="Times New Roman"/>
          <w:sz w:val="22"/>
          <w:szCs w:val="22"/>
        </w:rPr>
        <w:t xml:space="preserve"> March 10, 2017)</w:t>
      </w:r>
      <w:r>
        <w:rPr>
          <w:rFonts w:ascii="Times New Roman" w:hAnsi="Times New Roman" w:cs="Times New Roman"/>
          <w:sz w:val="22"/>
          <w:szCs w:val="22"/>
        </w:rPr>
        <w:t>, at 7.  Ms. Mead opined that Reserve’s</w:t>
      </w:r>
      <w:r w:rsidRPr="001C56A9">
        <w:rPr>
          <w:rFonts w:ascii="Times New Roman" w:hAnsi="Times New Roman" w:cs="Times New Roman"/>
          <w:sz w:val="22"/>
          <w:szCs w:val="22"/>
        </w:rPr>
        <w:t xml:space="preserve"> </w:t>
      </w:r>
      <w:r>
        <w:rPr>
          <w:rFonts w:ascii="Times New Roman" w:hAnsi="Times New Roman" w:cs="Times New Roman"/>
          <w:sz w:val="22"/>
          <w:szCs w:val="22"/>
        </w:rPr>
        <w:t>“</w:t>
      </w:r>
      <w:r w:rsidRPr="001C56A9">
        <w:rPr>
          <w:rFonts w:ascii="Times New Roman" w:hAnsi="Times New Roman" w:cs="Times New Roman"/>
          <w:sz w:val="22"/>
          <w:szCs w:val="22"/>
        </w:rPr>
        <w:t>total premiums are reasonable</w:t>
      </w:r>
      <w:r>
        <w:rPr>
          <w:rFonts w:ascii="Times New Roman" w:hAnsi="Times New Roman" w:cs="Times New Roman"/>
          <w:sz w:val="22"/>
          <w:szCs w:val="22"/>
        </w:rPr>
        <w:t>”</w:t>
      </w:r>
      <w:r w:rsidRPr="001C56A9">
        <w:rPr>
          <w:rFonts w:ascii="Times New Roman" w:hAnsi="Times New Roman" w:cs="Times New Roman"/>
          <w:sz w:val="22"/>
          <w:szCs w:val="22"/>
        </w:rPr>
        <w:t xml:space="preserve"> </w:t>
      </w:r>
      <w:r>
        <w:rPr>
          <w:rFonts w:ascii="Times New Roman" w:hAnsi="Times New Roman" w:cs="Times New Roman"/>
          <w:sz w:val="22"/>
          <w:szCs w:val="22"/>
        </w:rPr>
        <w:t xml:space="preserve">with respect to the following polices for each year (2008, 2009, and 2010) at issue:  </w:t>
      </w:r>
      <w:r w:rsidRPr="001C56A9">
        <w:rPr>
          <w:rFonts w:ascii="Times New Roman" w:hAnsi="Times New Roman" w:cs="Times New Roman"/>
          <w:sz w:val="22"/>
          <w:szCs w:val="22"/>
        </w:rPr>
        <w:t>Cyber Risk Package Insurance Policy, Directors and</w:t>
      </w:r>
      <w:r>
        <w:rPr>
          <w:rFonts w:ascii="Times New Roman" w:hAnsi="Times New Roman" w:cs="Times New Roman"/>
          <w:sz w:val="22"/>
          <w:szCs w:val="22"/>
        </w:rPr>
        <w:t xml:space="preserve"> </w:t>
      </w:r>
      <w:r w:rsidRPr="001C56A9">
        <w:rPr>
          <w:rFonts w:ascii="Times New Roman" w:hAnsi="Times New Roman" w:cs="Times New Roman"/>
          <w:sz w:val="22"/>
          <w:szCs w:val="22"/>
        </w:rPr>
        <w:t>Officers Insurance Policy, Employment Practices Liability Insurance Policy, Intellectual Property Package</w:t>
      </w:r>
      <w:r>
        <w:rPr>
          <w:rFonts w:ascii="Times New Roman" w:hAnsi="Times New Roman" w:cs="Times New Roman"/>
          <w:sz w:val="22"/>
          <w:szCs w:val="22"/>
        </w:rPr>
        <w:t xml:space="preserve"> </w:t>
      </w:r>
      <w:r w:rsidRPr="001C56A9">
        <w:rPr>
          <w:rFonts w:ascii="Times New Roman" w:hAnsi="Times New Roman" w:cs="Times New Roman"/>
          <w:sz w:val="22"/>
          <w:szCs w:val="22"/>
        </w:rPr>
        <w:t>Insurance Policy, Legal Expense Reimbursement Insurance Policy, Special Risk - Expense Reimbursement</w:t>
      </w:r>
      <w:r>
        <w:rPr>
          <w:rFonts w:ascii="Times New Roman" w:hAnsi="Times New Roman" w:cs="Times New Roman"/>
          <w:sz w:val="22"/>
          <w:szCs w:val="22"/>
        </w:rPr>
        <w:t xml:space="preserve"> </w:t>
      </w:r>
      <w:r w:rsidRPr="001C56A9">
        <w:rPr>
          <w:rFonts w:ascii="Times New Roman" w:hAnsi="Times New Roman" w:cs="Times New Roman"/>
          <w:sz w:val="22"/>
          <w:szCs w:val="22"/>
        </w:rPr>
        <w:t>Insurance Policy, Special Risk - Loss of Services Insurance Policy, and Special Risk - Regulatory Changes</w:t>
      </w:r>
      <w:r>
        <w:rPr>
          <w:rFonts w:ascii="Times New Roman" w:hAnsi="Times New Roman" w:cs="Times New Roman"/>
          <w:sz w:val="22"/>
          <w:szCs w:val="22"/>
        </w:rPr>
        <w:t xml:space="preserve"> </w:t>
      </w:r>
      <w:r w:rsidRPr="001C56A9">
        <w:rPr>
          <w:rFonts w:ascii="Times New Roman" w:hAnsi="Times New Roman" w:cs="Times New Roman"/>
          <w:sz w:val="22"/>
          <w:szCs w:val="22"/>
        </w:rPr>
        <w:t>Insurance Policy</w:t>
      </w:r>
      <w:r>
        <w:rPr>
          <w:rFonts w:ascii="Times New Roman" w:hAnsi="Times New Roman" w:cs="Times New Roman"/>
          <w:sz w:val="22"/>
          <w:szCs w:val="22"/>
        </w:rPr>
        <w:t>.</w:t>
      </w:r>
    </w:p>
    <w:p w14:paraId="37675D6F" w14:textId="77777777" w:rsidR="00FC046A" w:rsidRDefault="00FC046A" w:rsidP="00937470">
      <w:pPr>
        <w:pStyle w:val="EndnoteText"/>
        <w:rPr>
          <w:rFonts w:ascii="Times New Roman" w:hAnsi="Times New Roman" w:cs="Times New Roman"/>
          <w:sz w:val="22"/>
          <w:szCs w:val="22"/>
        </w:rPr>
      </w:pPr>
    </w:p>
    <w:p w14:paraId="13783FFF" w14:textId="46A19BF4" w:rsidR="00FC046A" w:rsidRDefault="00FC046A" w:rsidP="00937470">
      <w:pPr>
        <w:pStyle w:val="EndnoteText"/>
        <w:rPr>
          <w:rFonts w:ascii="Times New Roman" w:hAnsi="Times New Roman" w:cs="Times New Roman"/>
          <w:sz w:val="22"/>
          <w:szCs w:val="22"/>
        </w:rPr>
      </w:pPr>
      <w:r w:rsidRPr="00AC3AB6">
        <w:rPr>
          <w:rFonts w:ascii="Times New Roman" w:hAnsi="Times New Roman" w:cs="Times New Roman"/>
          <w:sz w:val="22"/>
          <w:szCs w:val="22"/>
        </w:rPr>
        <w:t xml:space="preserve">See also testimony of Michael Solomon, </w:t>
      </w:r>
      <w:r>
        <w:rPr>
          <w:rFonts w:ascii="Times New Roman" w:hAnsi="Times New Roman" w:cs="Times New Roman"/>
          <w:sz w:val="22"/>
          <w:szCs w:val="22"/>
        </w:rPr>
        <w:t>Tr.</w:t>
      </w:r>
      <w:r w:rsidRPr="00AC3AB6">
        <w:rPr>
          <w:rFonts w:ascii="Times New Roman" w:hAnsi="Times New Roman" w:cs="Times New Roman"/>
          <w:sz w:val="22"/>
          <w:szCs w:val="22"/>
        </w:rPr>
        <w:t xml:space="preserve"> at 466-494, and Exhibit 117-P (Expert Actuarial Review Report of Michael Solomon</w:t>
      </w:r>
      <w:r>
        <w:rPr>
          <w:rFonts w:ascii="Times New Roman" w:hAnsi="Times New Roman" w:cs="Times New Roman"/>
          <w:sz w:val="22"/>
          <w:szCs w:val="22"/>
        </w:rPr>
        <w:t xml:space="preserve">, </w:t>
      </w:r>
      <w:r w:rsidRPr="00AC3AB6">
        <w:rPr>
          <w:rFonts w:ascii="Times New Roman" w:hAnsi="Times New Roman" w:cs="Times New Roman"/>
          <w:sz w:val="22"/>
          <w:szCs w:val="22"/>
        </w:rPr>
        <w:t>March 27, 2017)</w:t>
      </w:r>
      <w:r>
        <w:rPr>
          <w:rFonts w:ascii="Times New Roman" w:hAnsi="Times New Roman" w:cs="Times New Roman"/>
          <w:sz w:val="22"/>
          <w:szCs w:val="22"/>
        </w:rPr>
        <w:t>, at 15.  Mr. Solomon opined on the reasonableness of the premiums paid to Reserve by its insureds</w:t>
      </w:r>
      <w:r w:rsidRPr="00E817BA">
        <w:t xml:space="preserve"> </w:t>
      </w:r>
      <w:r>
        <w:rPr>
          <w:rFonts w:ascii="Times New Roman" w:hAnsi="Times New Roman" w:cs="Times New Roman"/>
          <w:sz w:val="22"/>
          <w:szCs w:val="22"/>
        </w:rPr>
        <w:t>with respect to</w:t>
      </w:r>
      <w:r w:rsidRPr="00E817BA">
        <w:rPr>
          <w:rFonts w:ascii="Times New Roman" w:hAnsi="Times New Roman" w:cs="Times New Roman"/>
          <w:sz w:val="22"/>
          <w:szCs w:val="22"/>
        </w:rPr>
        <w:t xml:space="preserve"> the following</w:t>
      </w:r>
      <w:r>
        <w:rPr>
          <w:rFonts w:ascii="Times New Roman" w:hAnsi="Times New Roman" w:cs="Times New Roman"/>
          <w:sz w:val="22"/>
          <w:szCs w:val="22"/>
        </w:rPr>
        <w:t xml:space="preserve"> </w:t>
      </w:r>
      <w:r w:rsidRPr="00E817BA">
        <w:rPr>
          <w:rFonts w:ascii="Times New Roman" w:hAnsi="Times New Roman" w:cs="Times New Roman"/>
          <w:sz w:val="22"/>
          <w:szCs w:val="22"/>
        </w:rPr>
        <w:t xml:space="preserve">policies issued </w:t>
      </w:r>
      <w:r>
        <w:rPr>
          <w:rFonts w:ascii="Times New Roman" w:hAnsi="Times New Roman" w:cs="Times New Roman"/>
          <w:sz w:val="22"/>
          <w:szCs w:val="22"/>
        </w:rPr>
        <w:t xml:space="preserve">by Reserve </w:t>
      </w:r>
      <w:r w:rsidRPr="00E817BA">
        <w:rPr>
          <w:rFonts w:ascii="Times New Roman" w:hAnsi="Times New Roman" w:cs="Times New Roman"/>
          <w:sz w:val="22"/>
          <w:szCs w:val="22"/>
        </w:rPr>
        <w:t>between 2008 and 2010: Pollution Liability, Special Risk - Tax Liability,</w:t>
      </w:r>
      <w:r>
        <w:rPr>
          <w:rFonts w:ascii="Times New Roman" w:hAnsi="Times New Roman" w:cs="Times New Roman"/>
          <w:sz w:val="22"/>
          <w:szCs w:val="22"/>
        </w:rPr>
        <w:t xml:space="preserve"> </w:t>
      </w:r>
      <w:r w:rsidRPr="00E817BA">
        <w:rPr>
          <w:rFonts w:ascii="Times New Roman" w:hAnsi="Times New Roman" w:cs="Times New Roman"/>
          <w:sz w:val="22"/>
          <w:szCs w:val="22"/>
        </w:rPr>
        <w:t>Special Risk – Weather Related Business Interruption, Special Risk – Product Recall,</w:t>
      </w:r>
      <w:r>
        <w:rPr>
          <w:rFonts w:ascii="Times New Roman" w:hAnsi="Times New Roman" w:cs="Times New Roman"/>
          <w:sz w:val="22"/>
          <w:szCs w:val="22"/>
        </w:rPr>
        <w:t xml:space="preserve"> </w:t>
      </w:r>
      <w:r w:rsidRPr="00E817BA">
        <w:rPr>
          <w:rFonts w:ascii="Times New Roman" w:hAnsi="Times New Roman" w:cs="Times New Roman"/>
          <w:sz w:val="22"/>
          <w:szCs w:val="22"/>
        </w:rPr>
        <w:t>Special Risk – Loss of Major Customer, and Special Risk – Punitive Wrap.</w:t>
      </w:r>
      <w:r>
        <w:rPr>
          <w:rFonts w:ascii="Times New Roman" w:hAnsi="Times New Roman" w:cs="Times New Roman"/>
          <w:sz w:val="22"/>
          <w:szCs w:val="22"/>
        </w:rPr>
        <w:t xml:space="preserve">  Mr. Solomon stated as follows in his expert report at 15: </w:t>
      </w:r>
      <w:r>
        <w:t>“</w:t>
      </w:r>
      <w:r w:rsidRPr="00A5536E">
        <w:rPr>
          <w:rFonts w:ascii="Times New Roman" w:hAnsi="Times New Roman" w:cs="Times New Roman"/>
          <w:sz w:val="22"/>
          <w:szCs w:val="22"/>
        </w:rPr>
        <w:t>Because the premium paid by the Insureds is within the range of reasonable premium</w:t>
      </w:r>
      <w:r>
        <w:rPr>
          <w:rFonts w:ascii="Times New Roman" w:hAnsi="Times New Roman" w:cs="Times New Roman"/>
          <w:sz w:val="22"/>
          <w:szCs w:val="22"/>
        </w:rPr>
        <w:t xml:space="preserve"> </w:t>
      </w:r>
      <w:r w:rsidRPr="00A5536E">
        <w:rPr>
          <w:rFonts w:ascii="Times New Roman" w:hAnsi="Times New Roman" w:cs="Times New Roman"/>
          <w:sz w:val="22"/>
          <w:szCs w:val="22"/>
        </w:rPr>
        <w:t>estimates, I consider the policy premiums reasonable in the aggregate. Additionally,</w:t>
      </w:r>
      <w:r>
        <w:rPr>
          <w:rFonts w:ascii="Times New Roman" w:hAnsi="Times New Roman" w:cs="Times New Roman"/>
          <w:sz w:val="22"/>
          <w:szCs w:val="22"/>
        </w:rPr>
        <w:t xml:space="preserve"> </w:t>
      </w:r>
      <w:r w:rsidRPr="00A5536E">
        <w:rPr>
          <w:rFonts w:ascii="Times New Roman" w:hAnsi="Times New Roman" w:cs="Times New Roman"/>
          <w:sz w:val="22"/>
          <w:szCs w:val="22"/>
        </w:rPr>
        <w:t>because the premium paid by</w:t>
      </w:r>
      <w:r>
        <w:rPr>
          <w:rFonts w:ascii="Times New Roman" w:hAnsi="Times New Roman" w:cs="Times New Roman"/>
          <w:sz w:val="22"/>
          <w:szCs w:val="22"/>
        </w:rPr>
        <w:t xml:space="preserve"> </w:t>
      </w:r>
      <w:r w:rsidRPr="00A5536E">
        <w:rPr>
          <w:rFonts w:ascii="Times New Roman" w:hAnsi="Times New Roman" w:cs="Times New Roman"/>
          <w:sz w:val="22"/>
          <w:szCs w:val="22"/>
        </w:rPr>
        <w:t>the Insureds is within the range of reasonable premium</w:t>
      </w:r>
      <w:r>
        <w:rPr>
          <w:rFonts w:ascii="Times New Roman" w:hAnsi="Times New Roman" w:cs="Times New Roman"/>
          <w:sz w:val="22"/>
          <w:szCs w:val="22"/>
        </w:rPr>
        <w:t xml:space="preserve"> </w:t>
      </w:r>
      <w:r w:rsidRPr="00A5536E">
        <w:rPr>
          <w:rFonts w:ascii="Times New Roman" w:hAnsi="Times New Roman" w:cs="Times New Roman"/>
          <w:sz w:val="22"/>
          <w:szCs w:val="22"/>
        </w:rPr>
        <w:t>estimates for each year, I consider the policy premiums reasonable for each year</w:t>
      </w:r>
      <w:r>
        <w:rPr>
          <w:rFonts w:ascii="Times New Roman" w:hAnsi="Times New Roman" w:cs="Times New Roman"/>
          <w:sz w:val="22"/>
          <w:szCs w:val="22"/>
        </w:rPr>
        <w:t>.”</w:t>
      </w:r>
    </w:p>
    <w:p w14:paraId="49A477AA" w14:textId="458F9C9C" w:rsidR="00FC046A" w:rsidRDefault="00FC046A" w:rsidP="00937470">
      <w:pPr>
        <w:pStyle w:val="EndnoteText"/>
        <w:rPr>
          <w:rFonts w:ascii="Times New Roman" w:hAnsi="Times New Roman" w:cs="Times New Roman"/>
          <w:sz w:val="22"/>
          <w:szCs w:val="22"/>
        </w:rPr>
      </w:pPr>
    </w:p>
    <w:p w14:paraId="073BD6DB" w14:textId="2275600A" w:rsidR="00FC046A" w:rsidRDefault="00FC046A" w:rsidP="00937470">
      <w:pPr>
        <w:pStyle w:val="EndnoteText"/>
        <w:rPr>
          <w:rFonts w:ascii="Times New Roman" w:hAnsi="Times New Roman" w:cs="Times New Roman"/>
          <w:sz w:val="22"/>
          <w:szCs w:val="22"/>
        </w:rPr>
      </w:pPr>
      <w:r w:rsidRPr="003D5679">
        <w:rPr>
          <w:rFonts w:ascii="Times New Roman" w:hAnsi="Times New Roman" w:cs="Times New Roman"/>
          <w:sz w:val="22"/>
          <w:szCs w:val="22"/>
        </w:rPr>
        <w:t>Between actuaries Mead and Solomon, all of the premiums for the 14 direct written policies were found to be reasonable.  McNeel and Mid-Continent also opined on the pricing of Reserve’s direct written premiums.  Actuary Glicksman opined on the pricing of the stop loss and quota share premiums.  Actuary Fagg opined on the premiums received from a publicly held insurer (Lyndon), which were ceded to Reserve and flowed from third parties (and were therefore presumed to be at arm’s-length).</w:t>
      </w:r>
    </w:p>
    <w:p w14:paraId="29B25E2F" w14:textId="77777777" w:rsidR="00FC046A" w:rsidRPr="005F4FBC" w:rsidRDefault="00FC046A" w:rsidP="00937470">
      <w:pPr>
        <w:pStyle w:val="EndnoteText"/>
        <w:rPr>
          <w:rFonts w:ascii="Times New Roman" w:hAnsi="Times New Roman" w:cs="Times New Roman"/>
          <w:sz w:val="22"/>
          <w:szCs w:val="22"/>
        </w:rPr>
      </w:pPr>
    </w:p>
  </w:endnote>
  <w:endnote w:id="121">
    <w:p w14:paraId="2F71B093" w14:textId="0474736F" w:rsidR="00FC046A" w:rsidRPr="005F4FBC" w:rsidRDefault="00FC046A" w:rsidP="00D92C1C">
      <w:pPr>
        <w:pStyle w:val="EndnoteText"/>
        <w:rPr>
          <w:rFonts w:ascii="Times New Roman" w:hAnsi="Times New Roman" w:cs="Times New Roman"/>
          <w:sz w:val="22"/>
          <w:szCs w:val="22"/>
        </w:rPr>
      </w:pPr>
      <w:r w:rsidRPr="005F4FBC">
        <w:rPr>
          <w:rStyle w:val="EndnoteReference"/>
          <w:rFonts w:ascii="Times New Roman" w:hAnsi="Times New Roman" w:cs="Times New Roman"/>
          <w:sz w:val="22"/>
          <w:szCs w:val="22"/>
        </w:rPr>
        <w:endnoteRef/>
      </w:r>
      <w:r w:rsidRPr="005F4FBC">
        <w:rPr>
          <w:rFonts w:ascii="Times New Roman" w:hAnsi="Times New Roman" w:cs="Times New Roman"/>
          <w:sz w:val="22"/>
          <w:szCs w:val="22"/>
        </w:rPr>
        <w:t xml:space="preserve"> </w:t>
      </w:r>
      <w:r>
        <w:rPr>
          <w:rFonts w:ascii="Times New Roman" w:hAnsi="Times New Roman" w:cs="Times New Roman"/>
          <w:sz w:val="22"/>
          <w:szCs w:val="22"/>
        </w:rPr>
        <w:t>See Opinion at 62: “</w:t>
      </w:r>
      <w:r w:rsidRPr="00D92C1C">
        <w:rPr>
          <w:rFonts w:ascii="Times New Roman" w:hAnsi="Times New Roman" w:cs="Times New Roman"/>
          <w:sz w:val="22"/>
          <w:szCs w:val="22"/>
        </w:rPr>
        <w:t>We</w:t>
      </w:r>
      <w:r>
        <w:rPr>
          <w:rFonts w:ascii="Times New Roman" w:hAnsi="Times New Roman" w:cs="Times New Roman"/>
          <w:sz w:val="22"/>
          <w:szCs w:val="22"/>
        </w:rPr>
        <w:t xml:space="preserve"> </w:t>
      </w:r>
      <w:r w:rsidRPr="00D92C1C">
        <w:rPr>
          <w:rFonts w:ascii="Times New Roman" w:hAnsi="Times New Roman" w:cs="Times New Roman"/>
          <w:sz w:val="22"/>
          <w:szCs w:val="22"/>
        </w:rPr>
        <w:t xml:space="preserve">conclude that </w:t>
      </w:r>
      <w:r>
        <w:rPr>
          <w:rFonts w:ascii="Times New Roman" w:hAnsi="Times New Roman" w:cs="Times New Roman"/>
          <w:sz w:val="22"/>
          <w:szCs w:val="22"/>
        </w:rPr>
        <w:t xml:space="preserve">[all of] </w:t>
      </w:r>
      <w:r w:rsidRPr="00D92C1C">
        <w:rPr>
          <w:rFonts w:ascii="Times New Roman" w:hAnsi="Times New Roman" w:cs="Times New Roman"/>
          <w:sz w:val="22"/>
          <w:szCs w:val="22"/>
        </w:rPr>
        <w:t>Reserve</w:t>
      </w:r>
      <w:r>
        <w:rPr>
          <w:rFonts w:ascii="Times New Roman" w:hAnsi="Times New Roman" w:cs="Times New Roman"/>
          <w:sz w:val="22"/>
          <w:szCs w:val="22"/>
        </w:rPr>
        <w:t>’</w:t>
      </w:r>
      <w:r w:rsidRPr="00D92C1C">
        <w:rPr>
          <w:rFonts w:ascii="Times New Roman" w:hAnsi="Times New Roman" w:cs="Times New Roman"/>
          <w:sz w:val="22"/>
          <w:szCs w:val="22"/>
        </w:rPr>
        <w:t>s transactions were not insurance transactions in the</w:t>
      </w:r>
      <w:r>
        <w:rPr>
          <w:rFonts w:ascii="Times New Roman" w:hAnsi="Times New Roman" w:cs="Times New Roman"/>
          <w:sz w:val="22"/>
          <w:szCs w:val="22"/>
        </w:rPr>
        <w:t xml:space="preserve"> </w:t>
      </w:r>
      <w:r w:rsidRPr="00D92C1C">
        <w:rPr>
          <w:rFonts w:ascii="Times New Roman" w:hAnsi="Times New Roman" w:cs="Times New Roman"/>
          <w:sz w:val="22"/>
          <w:szCs w:val="22"/>
        </w:rPr>
        <w:t>commonly accepted sense.</w:t>
      </w:r>
      <w:r>
        <w:rPr>
          <w:rFonts w:ascii="Times New Roman" w:hAnsi="Times New Roman" w:cs="Times New Roman"/>
          <w:sz w:val="22"/>
          <w:szCs w:val="22"/>
        </w:rPr>
        <w:t>”</w:t>
      </w:r>
    </w:p>
    <w:p w14:paraId="0DD8587D" w14:textId="77777777" w:rsidR="00FC046A" w:rsidRPr="005F4FBC" w:rsidRDefault="00FC046A">
      <w:pPr>
        <w:pStyle w:val="EndnoteText"/>
        <w:rPr>
          <w:rFonts w:ascii="Times New Roman" w:hAnsi="Times New Roman" w:cs="Times New Roman"/>
          <w:sz w:val="22"/>
          <w:szCs w:val="22"/>
        </w:rPr>
      </w:pPr>
    </w:p>
  </w:endnote>
  <w:endnote w:id="122">
    <w:p w14:paraId="1DAE5266" w14:textId="03C9030A" w:rsidR="00FC046A" w:rsidRDefault="00FC046A" w:rsidP="00937470">
      <w:pPr>
        <w:pStyle w:val="EndnoteText"/>
        <w:rPr>
          <w:rFonts w:ascii="Times New Roman" w:hAnsi="Times New Roman" w:cs="Times New Roman"/>
          <w:sz w:val="22"/>
          <w:szCs w:val="22"/>
        </w:rPr>
      </w:pPr>
      <w:r w:rsidRPr="007D2438">
        <w:rPr>
          <w:rStyle w:val="EndnoteReference"/>
          <w:rFonts w:ascii="Times New Roman" w:hAnsi="Times New Roman" w:cs="Times New Roman"/>
          <w:sz w:val="22"/>
          <w:szCs w:val="22"/>
        </w:rPr>
        <w:endnoteRef/>
      </w:r>
      <w:r w:rsidRPr="007D2438">
        <w:rPr>
          <w:rFonts w:ascii="Times New Roman" w:hAnsi="Times New Roman" w:cs="Times New Roman"/>
          <w:sz w:val="22"/>
          <w:szCs w:val="22"/>
        </w:rPr>
        <w:t xml:space="preserve"> See Opinion</w:t>
      </w:r>
      <w:r>
        <w:rPr>
          <w:rFonts w:ascii="Times New Roman" w:hAnsi="Times New Roman" w:cs="Times New Roman"/>
          <w:sz w:val="22"/>
          <w:szCs w:val="22"/>
        </w:rPr>
        <w:t xml:space="preserve"> at 14</w:t>
      </w:r>
      <w:r w:rsidRPr="007D2438">
        <w:rPr>
          <w:rFonts w:ascii="Times New Roman" w:hAnsi="Times New Roman" w:cs="Times New Roman"/>
          <w:sz w:val="22"/>
          <w:szCs w:val="22"/>
        </w:rPr>
        <w:t xml:space="preserve">, where the Court </w:t>
      </w:r>
      <w:r>
        <w:rPr>
          <w:rFonts w:ascii="Times New Roman" w:hAnsi="Times New Roman" w:cs="Times New Roman"/>
          <w:sz w:val="22"/>
          <w:szCs w:val="22"/>
        </w:rPr>
        <w:t xml:space="preserve">selected </w:t>
      </w:r>
      <w:r w:rsidRPr="007D2438">
        <w:rPr>
          <w:rFonts w:ascii="Times New Roman" w:hAnsi="Times New Roman" w:cs="Times New Roman"/>
          <w:sz w:val="22"/>
          <w:szCs w:val="22"/>
        </w:rPr>
        <w:t xml:space="preserve">the following </w:t>
      </w:r>
      <w:r w:rsidRPr="00843A87">
        <w:rPr>
          <w:rFonts w:ascii="Times New Roman" w:hAnsi="Times New Roman" w:cs="Times New Roman"/>
          <w:sz w:val="22"/>
          <w:szCs w:val="22"/>
        </w:rPr>
        <w:t>language (quoted previously at page 11) from Reserve’s direct written policies, erroneously concludin</w:t>
      </w:r>
      <w:r>
        <w:rPr>
          <w:rFonts w:ascii="Times New Roman" w:hAnsi="Times New Roman" w:cs="Times New Roman"/>
          <w:sz w:val="22"/>
          <w:szCs w:val="22"/>
        </w:rPr>
        <w:t xml:space="preserve">g with the massaged excerpt that Peak’s coverages with third-party insurers were duplicative with the policies that Reserve issued to Peak and the other insureds, which was </w:t>
      </w:r>
      <w:r w:rsidRPr="00896D58">
        <w:rPr>
          <w:rFonts w:ascii="Times New Roman" w:hAnsi="Times New Roman" w:cs="Times New Roman"/>
          <w:sz w:val="22"/>
          <w:szCs w:val="22"/>
          <w:u w:val="single"/>
        </w:rPr>
        <w:t>not</w:t>
      </w:r>
      <w:r>
        <w:rPr>
          <w:rFonts w:ascii="Times New Roman" w:hAnsi="Times New Roman" w:cs="Times New Roman"/>
          <w:sz w:val="22"/>
          <w:szCs w:val="22"/>
        </w:rPr>
        <w:t xml:space="preserve"> the case</w:t>
      </w:r>
      <w:r w:rsidRPr="007D2438">
        <w:rPr>
          <w:rFonts w:ascii="Times New Roman" w:hAnsi="Times New Roman" w:cs="Times New Roman"/>
          <w:sz w:val="22"/>
          <w:szCs w:val="22"/>
        </w:rPr>
        <w:t>:</w:t>
      </w:r>
      <w:r>
        <w:rPr>
          <w:rFonts w:ascii="Times New Roman" w:hAnsi="Times New Roman" w:cs="Times New Roman"/>
          <w:sz w:val="22"/>
          <w:szCs w:val="22"/>
        </w:rPr>
        <w:t xml:space="preserve"> </w:t>
      </w:r>
    </w:p>
    <w:p w14:paraId="439BC76E" w14:textId="77777777" w:rsidR="00FC046A" w:rsidRDefault="00FC046A" w:rsidP="00937470">
      <w:pPr>
        <w:pStyle w:val="EndnoteText"/>
        <w:rPr>
          <w:rFonts w:ascii="Times New Roman" w:hAnsi="Times New Roman" w:cs="Times New Roman"/>
          <w:sz w:val="22"/>
          <w:szCs w:val="22"/>
        </w:rPr>
      </w:pPr>
    </w:p>
    <w:p w14:paraId="4A3E9F87" w14:textId="6FFE2A69" w:rsidR="00FC046A" w:rsidRDefault="00FC046A" w:rsidP="00937470">
      <w:pPr>
        <w:pStyle w:val="EndnoteText"/>
        <w:rPr>
          <w:rFonts w:ascii="Times New Roman" w:hAnsi="Times New Roman" w:cs="Times New Roman"/>
          <w:sz w:val="22"/>
          <w:szCs w:val="22"/>
        </w:rPr>
      </w:pPr>
      <w:r>
        <w:rPr>
          <w:rFonts w:ascii="Times New Roman" w:hAnsi="Times New Roman" w:cs="Times New Roman"/>
          <w:sz w:val="22"/>
          <w:szCs w:val="22"/>
        </w:rPr>
        <w:t>“</w:t>
      </w:r>
      <w:r w:rsidRPr="007D2438">
        <w:rPr>
          <w:rFonts w:ascii="Times New Roman" w:hAnsi="Times New Roman" w:cs="Times New Roman"/>
          <w:sz w:val="22"/>
          <w:szCs w:val="22"/>
        </w:rPr>
        <w:t>THE COVERAGES AFFORDED BY THIS POLICY ARE EXCESS</w:t>
      </w:r>
      <w:r>
        <w:rPr>
          <w:rFonts w:ascii="Times New Roman" w:hAnsi="Times New Roman" w:cs="Times New Roman"/>
          <w:sz w:val="22"/>
          <w:szCs w:val="22"/>
        </w:rPr>
        <w:t xml:space="preserve"> </w:t>
      </w:r>
      <w:r w:rsidRPr="007D2438">
        <w:rPr>
          <w:rFonts w:ascii="Times New Roman" w:hAnsi="Times New Roman" w:cs="Times New Roman"/>
          <w:sz w:val="22"/>
          <w:szCs w:val="22"/>
        </w:rPr>
        <w:t>OVER ANY OTHER VALID AND COLLECTIBLE INSURANCE</w:t>
      </w:r>
      <w:r>
        <w:rPr>
          <w:rFonts w:ascii="Times New Roman" w:hAnsi="Times New Roman" w:cs="Times New Roman"/>
          <w:sz w:val="22"/>
          <w:szCs w:val="22"/>
        </w:rPr>
        <w:t xml:space="preserve"> </w:t>
      </w:r>
      <w:r w:rsidRPr="007D2438">
        <w:rPr>
          <w:rFonts w:ascii="Times New Roman" w:hAnsi="Times New Roman" w:cs="Times New Roman"/>
          <w:sz w:val="22"/>
          <w:szCs w:val="22"/>
        </w:rPr>
        <w:t>POLICY ISSUED BY ANY OTHER INSURER * * *. THE LIMITS</w:t>
      </w:r>
      <w:r>
        <w:rPr>
          <w:rFonts w:ascii="Times New Roman" w:hAnsi="Times New Roman" w:cs="Times New Roman"/>
          <w:sz w:val="22"/>
          <w:szCs w:val="22"/>
        </w:rPr>
        <w:t xml:space="preserve"> </w:t>
      </w:r>
      <w:r w:rsidRPr="007D2438">
        <w:rPr>
          <w:rFonts w:ascii="Times New Roman" w:hAnsi="Times New Roman" w:cs="Times New Roman"/>
          <w:sz w:val="22"/>
          <w:szCs w:val="22"/>
        </w:rPr>
        <w:t>AND DEDUCTIBLES STATED HEREIN ONLY APPLY AFTER</w:t>
      </w:r>
      <w:r>
        <w:rPr>
          <w:rFonts w:ascii="Times New Roman" w:hAnsi="Times New Roman" w:cs="Times New Roman"/>
          <w:sz w:val="22"/>
          <w:szCs w:val="22"/>
        </w:rPr>
        <w:t xml:space="preserve"> </w:t>
      </w:r>
      <w:r w:rsidRPr="007D2438">
        <w:rPr>
          <w:rFonts w:ascii="Times New Roman" w:hAnsi="Times New Roman" w:cs="Times New Roman"/>
          <w:sz w:val="22"/>
          <w:szCs w:val="22"/>
        </w:rPr>
        <w:t>COVERAGE IS EXHAUSTED FROM ANY AND ALL OTHER</w:t>
      </w:r>
      <w:r>
        <w:rPr>
          <w:rFonts w:ascii="Times New Roman" w:hAnsi="Times New Roman" w:cs="Times New Roman"/>
          <w:sz w:val="22"/>
          <w:szCs w:val="22"/>
        </w:rPr>
        <w:t xml:space="preserve"> </w:t>
      </w:r>
      <w:r w:rsidRPr="007D2438">
        <w:rPr>
          <w:rFonts w:ascii="Times New Roman" w:hAnsi="Times New Roman" w:cs="Times New Roman"/>
          <w:sz w:val="22"/>
          <w:szCs w:val="22"/>
        </w:rPr>
        <w:t>VALID INSURANCE</w:t>
      </w:r>
      <w:r>
        <w:rPr>
          <w:rFonts w:ascii="Times New Roman" w:hAnsi="Times New Roman" w:cs="Times New Roman"/>
          <w:sz w:val="22"/>
          <w:szCs w:val="22"/>
        </w:rPr>
        <w:t xml:space="preserve"> </w:t>
      </w:r>
      <w:r w:rsidRPr="007D2438">
        <w:rPr>
          <w:rFonts w:ascii="Times New Roman" w:hAnsi="Times New Roman" w:cs="Times New Roman"/>
          <w:sz w:val="22"/>
          <w:szCs w:val="22"/>
        </w:rPr>
        <w:t>POLICIES ISSUED BY ANY OTHER</w:t>
      </w:r>
      <w:r>
        <w:rPr>
          <w:rFonts w:ascii="Times New Roman" w:hAnsi="Times New Roman" w:cs="Times New Roman"/>
          <w:sz w:val="22"/>
          <w:szCs w:val="22"/>
        </w:rPr>
        <w:t xml:space="preserve"> </w:t>
      </w:r>
      <w:r w:rsidRPr="007D2438">
        <w:rPr>
          <w:rFonts w:ascii="Times New Roman" w:hAnsi="Times New Roman" w:cs="Times New Roman"/>
          <w:sz w:val="22"/>
          <w:szCs w:val="22"/>
        </w:rPr>
        <w:t>INSURER.</w:t>
      </w:r>
      <w:r>
        <w:rPr>
          <w:rFonts w:ascii="Times New Roman" w:hAnsi="Times New Roman" w:cs="Times New Roman"/>
          <w:sz w:val="22"/>
          <w:szCs w:val="22"/>
        </w:rPr>
        <w:t>”</w:t>
      </w:r>
    </w:p>
    <w:p w14:paraId="04ADFF7A" w14:textId="222E8C37" w:rsidR="00FC046A" w:rsidRDefault="00FC046A" w:rsidP="00937470">
      <w:pPr>
        <w:pStyle w:val="EndnoteText"/>
        <w:rPr>
          <w:rFonts w:ascii="Times New Roman" w:hAnsi="Times New Roman" w:cs="Times New Roman"/>
          <w:sz w:val="22"/>
          <w:szCs w:val="22"/>
        </w:rPr>
      </w:pPr>
    </w:p>
    <w:p w14:paraId="6EC5E9DA" w14:textId="6A41106E" w:rsidR="00FC046A" w:rsidRPr="004B06AA" w:rsidRDefault="00FC046A" w:rsidP="00937470">
      <w:pPr>
        <w:pStyle w:val="EndnoteText"/>
        <w:rPr>
          <w:rFonts w:ascii="Times New Roman" w:hAnsi="Times New Roman" w:cs="Times New Roman"/>
          <w:sz w:val="22"/>
          <w:szCs w:val="22"/>
        </w:rPr>
      </w:pPr>
      <w:r>
        <w:rPr>
          <w:rFonts w:ascii="Times New Roman" w:hAnsi="Times New Roman" w:cs="Times New Roman"/>
          <w:sz w:val="22"/>
          <w:szCs w:val="22"/>
        </w:rPr>
        <w:t>Unexplainedly omitted by the Court in its excerpt was the following which runs totally contrary to the Court’s “</w:t>
      </w:r>
      <w:r w:rsidRPr="004B06AA">
        <w:rPr>
          <w:rFonts w:ascii="Times New Roman" w:hAnsi="Times New Roman" w:cs="Times New Roman"/>
          <w:sz w:val="22"/>
          <w:szCs w:val="22"/>
        </w:rPr>
        <w:t>analysis”: “</w:t>
      </w:r>
      <w:r w:rsidRPr="000803F7">
        <w:rPr>
          <w:rFonts w:ascii="Times New Roman" w:hAnsi="Times New Roman" w:cs="Times New Roman"/>
          <w:sz w:val="22"/>
          <w:szCs w:val="22"/>
        </w:rPr>
        <w:t xml:space="preserve">THIS EXCESS POLICY DOES NOT REQUIRE THE INSURED TO MAINTAIN ANY SPECIFIC UNDERLYING PRIMARY INSURANCE POLICIES UNLESS SPECIFIED BY ENDORSEMENT TO THIS POLICY. </w:t>
      </w:r>
      <w:r w:rsidRPr="000803F7">
        <w:rPr>
          <w:rStyle w:val="Strong"/>
          <w:rFonts w:ascii="Times New Roman" w:hAnsi="Times New Roman" w:cs="Times New Roman"/>
          <w:sz w:val="22"/>
          <w:szCs w:val="22"/>
          <w:u w:val="single"/>
        </w:rPr>
        <w:t>THE COVERAGES AFFORDED HEREIN WILL DROP DOWN AND PROVIDE COVERAGE ONLY IF THERE ARE NO OTHER VALID AND COLLECTIBLE INSURANCE POLICIES IN FORCE TO WHICH A CLAIM WOULD APPLY, SUBJECT TO THIS POLICY’S TERMS AND CONDITIONS.</w:t>
      </w:r>
      <w:r w:rsidRPr="000803F7">
        <w:rPr>
          <w:rFonts w:ascii="Times New Roman" w:hAnsi="Times New Roman" w:cs="Times New Roman"/>
          <w:sz w:val="22"/>
          <w:szCs w:val="22"/>
        </w:rPr>
        <w:t xml:space="preserve"> (emphasis added.) </w:t>
      </w:r>
    </w:p>
    <w:p w14:paraId="5F7ACC57" w14:textId="77777777" w:rsidR="00FC046A" w:rsidRDefault="00FC046A" w:rsidP="00937470">
      <w:pPr>
        <w:pStyle w:val="EndnoteText"/>
        <w:rPr>
          <w:rFonts w:ascii="Times New Roman" w:hAnsi="Times New Roman" w:cs="Times New Roman"/>
          <w:sz w:val="22"/>
          <w:szCs w:val="22"/>
        </w:rPr>
      </w:pPr>
    </w:p>
    <w:p w14:paraId="04FE1EB2" w14:textId="04C83339" w:rsidR="00FC046A" w:rsidRDefault="00FC046A" w:rsidP="00937470">
      <w:pPr>
        <w:pStyle w:val="EndnoteText"/>
        <w:rPr>
          <w:rFonts w:ascii="Times New Roman" w:hAnsi="Times New Roman" w:cs="Times New Roman"/>
          <w:sz w:val="22"/>
          <w:szCs w:val="22"/>
        </w:rPr>
      </w:pPr>
      <w:r>
        <w:rPr>
          <w:rFonts w:ascii="Times New Roman" w:hAnsi="Times New Roman" w:cs="Times New Roman"/>
          <w:sz w:val="22"/>
          <w:szCs w:val="22"/>
        </w:rPr>
        <w:t>See also Opinion at 43, where the Court again erroneously implied that</w:t>
      </w:r>
      <w:r w:rsidRPr="00345CC8">
        <w:t xml:space="preserve"> </w:t>
      </w:r>
      <w:r w:rsidRPr="00345CC8">
        <w:rPr>
          <w:rFonts w:ascii="Times New Roman" w:hAnsi="Times New Roman" w:cs="Times New Roman"/>
          <w:sz w:val="22"/>
          <w:szCs w:val="22"/>
        </w:rPr>
        <w:t xml:space="preserve">Peak’s coverages with third-party insurers were duplicative </w:t>
      </w:r>
      <w:r>
        <w:rPr>
          <w:rFonts w:ascii="Times New Roman" w:hAnsi="Times New Roman" w:cs="Times New Roman"/>
          <w:sz w:val="22"/>
          <w:szCs w:val="22"/>
        </w:rPr>
        <w:t xml:space="preserve">with </w:t>
      </w:r>
      <w:r w:rsidRPr="00345CC8">
        <w:rPr>
          <w:rFonts w:ascii="Times New Roman" w:hAnsi="Times New Roman" w:cs="Times New Roman"/>
          <w:sz w:val="22"/>
          <w:szCs w:val="22"/>
        </w:rPr>
        <w:t>Reserve</w:t>
      </w:r>
      <w:r>
        <w:rPr>
          <w:rFonts w:ascii="Times New Roman" w:hAnsi="Times New Roman" w:cs="Times New Roman"/>
          <w:sz w:val="22"/>
          <w:szCs w:val="22"/>
        </w:rPr>
        <w:t>’s policies, by stating as follows: “</w:t>
      </w:r>
      <w:r w:rsidRPr="00F86923">
        <w:rPr>
          <w:rFonts w:ascii="Times New Roman" w:hAnsi="Times New Roman" w:cs="Times New Roman"/>
          <w:sz w:val="22"/>
          <w:szCs w:val="22"/>
        </w:rPr>
        <w:t>Under the terms of the direct written policies Reserve was liable for claims</w:t>
      </w:r>
      <w:r>
        <w:rPr>
          <w:rFonts w:ascii="Times New Roman" w:hAnsi="Times New Roman" w:cs="Times New Roman"/>
          <w:sz w:val="22"/>
          <w:szCs w:val="22"/>
        </w:rPr>
        <w:t xml:space="preserve"> </w:t>
      </w:r>
      <w:r w:rsidRPr="00F86923">
        <w:rPr>
          <w:rFonts w:ascii="Times New Roman" w:hAnsi="Times New Roman" w:cs="Times New Roman"/>
          <w:sz w:val="22"/>
          <w:szCs w:val="22"/>
        </w:rPr>
        <w:t xml:space="preserve">not covered by </w:t>
      </w:r>
      <w:r>
        <w:rPr>
          <w:rFonts w:ascii="Times New Roman" w:hAnsi="Times New Roman" w:cs="Times New Roman"/>
          <w:sz w:val="22"/>
          <w:szCs w:val="22"/>
        </w:rPr>
        <w:t>‘</w:t>
      </w:r>
      <w:r w:rsidRPr="00F86923">
        <w:rPr>
          <w:rFonts w:ascii="Times New Roman" w:hAnsi="Times New Roman" w:cs="Times New Roman"/>
          <w:sz w:val="22"/>
          <w:szCs w:val="22"/>
        </w:rPr>
        <w:t>any other valid and collectible insurance policy issued by any</w:t>
      </w:r>
      <w:r>
        <w:rPr>
          <w:rFonts w:ascii="Times New Roman" w:hAnsi="Times New Roman" w:cs="Times New Roman"/>
          <w:sz w:val="22"/>
          <w:szCs w:val="22"/>
        </w:rPr>
        <w:t xml:space="preserve"> </w:t>
      </w:r>
      <w:r w:rsidRPr="00F86923">
        <w:rPr>
          <w:rFonts w:ascii="Times New Roman" w:hAnsi="Times New Roman" w:cs="Times New Roman"/>
          <w:sz w:val="22"/>
          <w:szCs w:val="22"/>
        </w:rPr>
        <w:t>other insurer.</w:t>
      </w:r>
      <w:r>
        <w:rPr>
          <w:rFonts w:ascii="Times New Roman" w:hAnsi="Times New Roman" w:cs="Times New Roman"/>
          <w:sz w:val="22"/>
          <w:szCs w:val="22"/>
        </w:rPr>
        <w:t>’</w:t>
      </w:r>
      <w:r w:rsidRPr="00F86923">
        <w:rPr>
          <w:rFonts w:ascii="Times New Roman" w:hAnsi="Times New Roman" w:cs="Times New Roman"/>
          <w:sz w:val="22"/>
          <w:szCs w:val="22"/>
        </w:rPr>
        <w:t xml:space="preserve"> Peak maintained extensive commercial insurance coverage with</w:t>
      </w:r>
      <w:r>
        <w:rPr>
          <w:rFonts w:ascii="Times New Roman" w:hAnsi="Times New Roman" w:cs="Times New Roman"/>
          <w:sz w:val="22"/>
          <w:szCs w:val="22"/>
        </w:rPr>
        <w:t xml:space="preserve"> </w:t>
      </w:r>
      <w:r w:rsidRPr="00F86923">
        <w:rPr>
          <w:rFonts w:ascii="Times New Roman" w:hAnsi="Times New Roman" w:cs="Times New Roman"/>
          <w:sz w:val="22"/>
          <w:szCs w:val="22"/>
        </w:rPr>
        <w:t>third-party insurers.</w:t>
      </w:r>
      <w:r>
        <w:rPr>
          <w:rFonts w:ascii="Times New Roman" w:hAnsi="Times New Roman" w:cs="Times New Roman"/>
          <w:sz w:val="22"/>
          <w:szCs w:val="22"/>
        </w:rPr>
        <w:t>”  The Court erroneously interpreted this contractual provision to mean that “any other valid and collectible insurance policy” was not restricted to those that actually covered a particular loss.  That is, the Court presumed that a workers’ compensation policy from a commercial carrier would cover a business interruption or pollution liability policy from Reserve, thus providing duplicate coverage.  It was clearly wrong for the Court to conclude such from the contractual language.</w:t>
      </w:r>
    </w:p>
    <w:p w14:paraId="23EC3429" w14:textId="77777777" w:rsidR="00FC046A" w:rsidRDefault="00FC046A" w:rsidP="00937470">
      <w:pPr>
        <w:pStyle w:val="EndnoteText"/>
      </w:pPr>
    </w:p>
  </w:endnote>
  <w:endnote w:id="123">
    <w:p w14:paraId="20F8ED62" w14:textId="6EDFEE67" w:rsidR="00FC046A" w:rsidRDefault="00FC046A" w:rsidP="00937470">
      <w:pPr>
        <w:pStyle w:val="EndnoteText"/>
        <w:rPr>
          <w:rFonts w:ascii="Times New Roman" w:hAnsi="Times New Roman" w:cs="Times New Roman"/>
          <w:sz w:val="22"/>
          <w:szCs w:val="22"/>
        </w:rPr>
      </w:pPr>
      <w:r w:rsidRPr="00F2532D">
        <w:rPr>
          <w:rStyle w:val="EndnoteReference"/>
          <w:rFonts w:ascii="Times New Roman" w:hAnsi="Times New Roman" w:cs="Times New Roman"/>
          <w:sz w:val="22"/>
          <w:szCs w:val="22"/>
        </w:rPr>
        <w:endnoteRef/>
      </w:r>
      <w:r w:rsidRPr="00F2532D">
        <w:rPr>
          <w:rFonts w:ascii="Times New Roman" w:hAnsi="Times New Roman" w:cs="Times New Roman"/>
          <w:sz w:val="22"/>
          <w:szCs w:val="22"/>
        </w:rPr>
        <w:t xml:space="preserve"> See </w:t>
      </w:r>
      <w:r>
        <w:rPr>
          <w:rFonts w:ascii="Times New Roman" w:hAnsi="Times New Roman" w:cs="Times New Roman"/>
          <w:sz w:val="22"/>
          <w:szCs w:val="22"/>
        </w:rPr>
        <w:t xml:space="preserve">Opinion at </w:t>
      </w:r>
      <w:r w:rsidRPr="00F2532D">
        <w:rPr>
          <w:rFonts w:ascii="Times New Roman" w:hAnsi="Times New Roman" w:cs="Times New Roman"/>
          <w:sz w:val="22"/>
          <w:szCs w:val="22"/>
        </w:rPr>
        <w:t>60</w:t>
      </w:r>
      <w:r>
        <w:rPr>
          <w:rFonts w:ascii="Times New Roman" w:hAnsi="Times New Roman" w:cs="Times New Roman"/>
          <w:sz w:val="22"/>
          <w:szCs w:val="22"/>
        </w:rPr>
        <w:t xml:space="preserve">: </w:t>
      </w:r>
      <w:r w:rsidRPr="00F2532D">
        <w:rPr>
          <w:rFonts w:ascii="Times New Roman" w:hAnsi="Times New Roman" w:cs="Times New Roman"/>
          <w:sz w:val="22"/>
          <w:szCs w:val="22"/>
        </w:rPr>
        <w:t>“All the direct written policies included</w:t>
      </w:r>
      <w:r>
        <w:rPr>
          <w:rFonts w:ascii="Times New Roman" w:hAnsi="Times New Roman" w:cs="Times New Roman"/>
          <w:sz w:val="22"/>
          <w:szCs w:val="22"/>
        </w:rPr>
        <w:t xml:space="preserve"> </w:t>
      </w:r>
      <w:r w:rsidRPr="00F2532D">
        <w:rPr>
          <w:rFonts w:ascii="Times New Roman" w:hAnsi="Times New Roman" w:cs="Times New Roman"/>
          <w:sz w:val="22"/>
          <w:szCs w:val="22"/>
        </w:rPr>
        <w:t>a provision that the coverage afforded by the policy would be valid only after insurance coverage from other insurers was exhausted. Peak had never come close to exhausting the policy limits of its third-party commercial insurance coverage.”</w:t>
      </w:r>
    </w:p>
    <w:p w14:paraId="08B789A5" w14:textId="77777777" w:rsidR="00FC046A" w:rsidRDefault="00FC046A" w:rsidP="00937470">
      <w:pPr>
        <w:pStyle w:val="EndnoteText"/>
      </w:pPr>
    </w:p>
  </w:endnote>
  <w:endnote w:id="124">
    <w:p w14:paraId="04282589" w14:textId="4DD0F21D" w:rsidR="00FC046A" w:rsidRDefault="00FC046A" w:rsidP="00937470">
      <w:pPr>
        <w:pStyle w:val="EndnoteText"/>
        <w:rPr>
          <w:rFonts w:ascii="Times New Roman" w:hAnsi="Times New Roman" w:cs="Times New Roman"/>
          <w:sz w:val="22"/>
          <w:szCs w:val="22"/>
        </w:rPr>
      </w:pPr>
      <w:r w:rsidRPr="003C7258">
        <w:rPr>
          <w:rStyle w:val="EndnoteReference"/>
          <w:rFonts w:ascii="Times New Roman" w:hAnsi="Times New Roman" w:cs="Times New Roman"/>
          <w:sz w:val="22"/>
          <w:szCs w:val="22"/>
        </w:rPr>
        <w:endnoteRef/>
      </w:r>
      <w:r w:rsidRPr="003C7258">
        <w:rPr>
          <w:rFonts w:ascii="Times New Roman" w:hAnsi="Times New Roman" w:cs="Times New Roman"/>
          <w:sz w:val="22"/>
          <w:szCs w:val="22"/>
        </w:rPr>
        <w:t xml:space="preserve"> </w:t>
      </w:r>
      <w:r>
        <w:rPr>
          <w:rFonts w:ascii="Times New Roman" w:hAnsi="Times New Roman" w:cs="Times New Roman"/>
          <w:sz w:val="22"/>
          <w:szCs w:val="22"/>
        </w:rPr>
        <w:t>See Opinion at 60: “</w:t>
      </w:r>
      <w:r w:rsidRPr="00D844F5">
        <w:rPr>
          <w:rFonts w:ascii="Times New Roman" w:hAnsi="Times New Roman" w:cs="Times New Roman"/>
          <w:sz w:val="22"/>
          <w:szCs w:val="22"/>
        </w:rPr>
        <w:t xml:space="preserve">The facts do not reflect that Peak had a </w:t>
      </w:r>
      <w:r w:rsidRPr="00D844F5">
        <w:rPr>
          <w:rFonts w:ascii="Times New Roman" w:hAnsi="Times New Roman" w:cs="Times New Roman"/>
          <w:b/>
          <w:sz w:val="22"/>
          <w:szCs w:val="22"/>
        </w:rPr>
        <w:t>genuine need</w:t>
      </w:r>
      <w:r w:rsidRPr="00D844F5">
        <w:rPr>
          <w:rFonts w:ascii="Times New Roman" w:hAnsi="Times New Roman" w:cs="Times New Roman"/>
          <w:sz w:val="22"/>
          <w:szCs w:val="22"/>
        </w:rPr>
        <w:t xml:space="preserve"> for acquiring additional insurance during the tax years in issue. There was no significant history of losses that would justify such a drastic increase, and Zumbaum</w:t>
      </w:r>
      <w:r>
        <w:rPr>
          <w:rFonts w:ascii="Times New Roman" w:hAnsi="Times New Roman" w:cs="Times New Roman"/>
          <w:sz w:val="22"/>
          <w:szCs w:val="22"/>
        </w:rPr>
        <w:t>’</w:t>
      </w:r>
      <w:r w:rsidRPr="00D844F5">
        <w:rPr>
          <w:rFonts w:ascii="Times New Roman" w:hAnsi="Times New Roman" w:cs="Times New Roman"/>
          <w:sz w:val="22"/>
          <w:szCs w:val="22"/>
        </w:rPr>
        <w:t>s testimony that he was concerned about increased risks beginning in 2008 did not support a significant increase in insurance coverage.</w:t>
      </w:r>
      <w:r>
        <w:rPr>
          <w:rFonts w:ascii="Times New Roman" w:hAnsi="Times New Roman" w:cs="Times New Roman"/>
          <w:sz w:val="22"/>
          <w:szCs w:val="22"/>
        </w:rPr>
        <w:t>” (Emphasis added).  Yet see Opinion at 61: “</w:t>
      </w:r>
      <w:r w:rsidRPr="007B3408">
        <w:rPr>
          <w:rFonts w:ascii="Times New Roman" w:hAnsi="Times New Roman" w:cs="Times New Roman"/>
          <w:sz w:val="22"/>
          <w:szCs w:val="22"/>
        </w:rPr>
        <w:t>Although Capstone calculated Reserve</w:t>
      </w:r>
      <w:r>
        <w:rPr>
          <w:rFonts w:ascii="Times New Roman" w:hAnsi="Times New Roman" w:cs="Times New Roman"/>
          <w:sz w:val="22"/>
          <w:szCs w:val="22"/>
        </w:rPr>
        <w:t>’</w:t>
      </w:r>
      <w:r w:rsidRPr="007B3408">
        <w:rPr>
          <w:rFonts w:ascii="Times New Roman" w:hAnsi="Times New Roman" w:cs="Times New Roman"/>
          <w:sz w:val="22"/>
          <w:szCs w:val="22"/>
        </w:rPr>
        <w:t xml:space="preserve">s premiums using objective criteria and what appear to be actuarial methods, the </w:t>
      </w:r>
      <w:r w:rsidRPr="007B3408">
        <w:rPr>
          <w:rFonts w:ascii="Times New Roman" w:hAnsi="Times New Roman" w:cs="Times New Roman"/>
          <w:b/>
          <w:sz w:val="22"/>
          <w:szCs w:val="22"/>
        </w:rPr>
        <w:t>absence of a real business purpose</w:t>
      </w:r>
      <w:r w:rsidRPr="007B3408">
        <w:rPr>
          <w:rFonts w:ascii="Times New Roman" w:hAnsi="Times New Roman" w:cs="Times New Roman"/>
          <w:sz w:val="22"/>
          <w:szCs w:val="22"/>
        </w:rPr>
        <w:t xml:space="preserve"> for Reserve</w:t>
      </w:r>
      <w:r>
        <w:rPr>
          <w:rFonts w:ascii="Times New Roman" w:hAnsi="Times New Roman" w:cs="Times New Roman"/>
          <w:sz w:val="22"/>
          <w:szCs w:val="22"/>
        </w:rPr>
        <w:t>’</w:t>
      </w:r>
      <w:r w:rsidRPr="007B3408">
        <w:rPr>
          <w:rFonts w:ascii="Times New Roman" w:hAnsi="Times New Roman" w:cs="Times New Roman"/>
          <w:sz w:val="22"/>
          <w:szCs w:val="22"/>
        </w:rPr>
        <w:t>s policies leads us to conclude that the premiums paid for the polices were not reasonable and not negotiated at arm</w:t>
      </w:r>
      <w:r>
        <w:rPr>
          <w:rFonts w:ascii="Times New Roman" w:hAnsi="Times New Roman" w:cs="Times New Roman"/>
          <w:sz w:val="22"/>
          <w:szCs w:val="22"/>
        </w:rPr>
        <w:t>’</w:t>
      </w:r>
      <w:r w:rsidRPr="007B3408">
        <w:rPr>
          <w:rFonts w:ascii="Times New Roman" w:hAnsi="Times New Roman" w:cs="Times New Roman"/>
          <w:sz w:val="22"/>
          <w:szCs w:val="22"/>
        </w:rPr>
        <w:t>s length.</w:t>
      </w:r>
      <w:r>
        <w:rPr>
          <w:rFonts w:ascii="Times New Roman" w:hAnsi="Times New Roman" w:cs="Times New Roman"/>
          <w:sz w:val="22"/>
          <w:szCs w:val="22"/>
        </w:rPr>
        <w:t xml:space="preserve">” (Emphasis added).  In another reversal, see </w:t>
      </w:r>
      <w:r w:rsidRPr="00782DC7">
        <w:rPr>
          <w:rFonts w:ascii="Times New Roman" w:hAnsi="Times New Roman" w:cs="Times New Roman"/>
          <w:sz w:val="22"/>
          <w:szCs w:val="22"/>
        </w:rPr>
        <w:t>Opinion</w:t>
      </w:r>
      <w:r>
        <w:rPr>
          <w:rFonts w:ascii="Times New Roman" w:hAnsi="Times New Roman" w:cs="Times New Roman"/>
          <w:sz w:val="22"/>
          <w:szCs w:val="22"/>
        </w:rPr>
        <w:t xml:space="preserve"> at 62: “</w:t>
      </w:r>
      <w:r w:rsidRPr="00782DC7">
        <w:rPr>
          <w:rFonts w:ascii="Times New Roman" w:hAnsi="Times New Roman" w:cs="Times New Roman"/>
          <w:sz w:val="22"/>
          <w:szCs w:val="22"/>
        </w:rPr>
        <w:t xml:space="preserve">However, </w:t>
      </w:r>
      <w:r>
        <w:rPr>
          <w:rFonts w:ascii="Times New Roman" w:hAnsi="Times New Roman" w:cs="Times New Roman"/>
          <w:sz w:val="22"/>
          <w:szCs w:val="22"/>
        </w:rPr>
        <w:t>[Reserve]</w:t>
      </w:r>
      <w:r w:rsidRPr="00782DC7">
        <w:rPr>
          <w:rFonts w:ascii="Times New Roman" w:hAnsi="Times New Roman" w:cs="Times New Roman"/>
          <w:sz w:val="22"/>
          <w:szCs w:val="22"/>
        </w:rPr>
        <w:t xml:space="preserve"> was not operated as a bona fide insurance company, and there was </w:t>
      </w:r>
      <w:r w:rsidRPr="00354A2D">
        <w:rPr>
          <w:rFonts w:ascii="Times New Roman" w:hAnsi="Times New Roman" w:cs="Times New Roman"/>
          <w:b/>
          <w:sz w:val="22"/>
          <w:szCs w:val="22"/>
        </w:rPr>
        <w:t>no legitimate business purpose</w:t>
      </w:r>
      <w:r w:rsidRPr="00782DC7">
        <w:rPr>
          <w:rFonts w:ascii="Times New Roman" w:hAnsi="Times New Roman" w:cs="Times New Roman"/>
          <w:sz w:val="22"/>
          <w:szCs w:val="22"/>
        </w:rPr>
        <w:t xml:space="preserve"> for the policies that Reserve issued for the insureds.</w:t>
      </w:r>
      <w:r>
        <w:rPr>
          <w:rFonts w:ascii="Times New Roman" w:hAnsi="Times New Roman" w:cs="Times New Roman"/>
          <w:sz w:val="22"/>
          <w:szCs w:val="22"/>
        </w:rPr>
        <w:t>” (Emphasis added).</w:t>
      </w:r>
    </w:p>
    <w:p w14:paraId="13349ACA" w14:textId="77777777" w:rsidR="00FC046A" w:rsidRPr="00ED7CB5" w:rsidRDefault="00FC046A" w:rsidP="00937470">
      <w:pPr>
        <w:pStyle w:val="EndnoteText"/>
        <w:rPr>
          <w:rFonts w:ascii="Times New Roman" w:hAnsi="Times New Roman" w:cs="Times New Roman"/>
          <w:sz w:val="22"/>
          <w:szCs w:val="22"/>
        </w:rPr>
      </w:pPr>
    </w:p>
  </w:endnote>
  <w:endnote w:id="125">
    <w:p w14:paraId="5E1DC837" w14:textId="28E02207" w:rsidR="00FC046A" w:rsidRDefault="00FC046A" w:rsidP="008E3912">
      <w:pPr>
        <w:spacing w:after="0"/>
        <w:rPr>
          <w:rFonts w:ascii="Times New Roman" w:hAnsi="Times New Roman" w:cs="Times New Roman"/>
        </w:rPr>
      </w:pPr>
      <w:r w:rsidRPr="006B0EBB">
        <w:rPr>
          <w:rStyle w:val="EndnoteReference"/>
          <w:rFonts w:ascii="Times New Roman" w:hAnsi="Times New Roman" w:cs="Times New Roman"/>
        </w:rPr>
        <w:endnoteRef/>
      </w:r>
      <w:r w:rsidRPr="006B0EBB">
        <w:rPr>
          <w:rFonts w:ascii="Times New Roman" w:hAnsi="Times New Roman" w:cs="Times New Roman"/>
        </w:rPr>
        <w:t xml:space="preserve"> </w:t>
      </w:r>
      <w:r>
        <w:rPr>
          <w:rFonts w:ascii="Times New Roman" w:hAnsi="Times New Roman" w:cs="Times New Roman"/>
        </w:rPr>
        <w:t>A r</w:t>
      </w:r>
      <w:r w:rsidRPr="006B0EBB">
        <w:rPr>
          <w:rFonts w:ascii="Times New Roman" w:hAnsi="Times New Roman" w:cs="Times New Roman"/>
        </w:rPr>
        <w:t>einsurance</w:t>
      </w:r>
      <w:r>
        <w:rPr>
          <w:rFonts w:ascii="Times New Roman" w:hAnsi="Times New Roman" w:cs="Times New Roman"/>
        </w:rPr>
        <w:t xml:space="preserve"> arrangement</w:t>
      </w:r>
      <w:r w:rsidRPr="006B0EBB">
        <w:rPr>
          <w:rFonts w:ascii="Times New Roman" w:hAnsi="Times New Roman" w:cs="Times New Roman"/>
        </w:rPr>
        <w:t xml:space="preserve"> can informally be described as insurance purchased by an insurance company.</w:t>
      </w:r>
      <w:r>
        <w:rPr>
          <w:rFonts w:ascii="Times New Roman" w:hAnsi="Times New Roman" w:cs="Times New Roman"/>
        </w:rPr>
        <w:t xml:space="preserve">  A more technical definition of “r</w:t>
      </w:r>
      <w:r w:rsidRPr="006B0EBB">
        <w:rPr>
          <w:rFonts w:ascii="Times New Roman" w:hAnsi="Times New Roman" w:cs="Times New Roman"/>
        </w:rPr>
        <w:t>einsurance</w:t>
      </w:r>
      <w:r>
        <w:rPr>
          <w:rFonts w:ascii="Times New Roman" w:hAnsi="Times New Roman" w:cs="Times New Roman"/>
        </w:rPr>
        <w:t>”</w:t>
      </w:r>
      <w:r w:rsidRPr="006B0EBB">
        <w:rPr>
          <w:rFonts w:ascii="Times New Roman" w:hAnsi="Times New Roman" w:cs="Times New Roman"/>
        </w:rPr>
        <w:t xml:space="preserve"> is a transaction in which one party, the </w:t>
      </w:r>
      <w:r>
        <w:rPr>
          <w:rFonts w:ascii="Times New Roman" w:hAnsi="Times New Roman" w:cs="Times New Roman"/>
        </w:rPr>
        <w:t>“</w:t>
      </w:r>
      <w:r w:rsidRPr="006B0EBB">
        <w:rPr>
          <w:rFonts w:ascii="Times New Roman" w:hAnsi="Times New Roman" w:cs="Times New Roman"/>
        </w:rPr>
        <w:t>reinsurer,</w:t>
      </w:r>
      <w:r>
        <w:rPr>
          <w:rFonts w:ascii="Times New Roman" w:hAnsi="Times New Roman" w:cs="Times New Roman"/>
        </w:rPr>
        <w:t>”</w:t>
      </w:r>
      <w:r w:rsidRPr="006B0EBB">
        <w:rPr>
          <w:rFonts w:ascii="Times New Roman" w:hAnsi="Times New Roman" w:cs="Times New Roman"/>
        </w:rPr>
        <w:t xml:space="preserve"> in consideration of a premium paid to it, agrees to indemnify another party, the </w:t>
      </w:r>
      <w:r>
        <w:rPr>
          <w:rFonts w:ascii="Times New Roman" w:hAnsi="Times New Roman" w:cs="Times New Roman"/>
        </w:rPr>
        <w:t>“</w:t>
      </w:r>
      <w:r w:rsidRPr="006B0EBB">
        <w:rPr>
          <w:rFonts w:ascii="Times New Roman" w:hAnsi="Times New Roman" w:cs="Times New Roman"/>
        </w:rPr>
        <w:t>reinsured,</w:t>
      </w:r>
      <w:r>
        <w:rPr>
          <w:rFonts w:ascii="Times New Roman" w:hAnsi="Times New Roman" w:cs="Times New Roman"/>
        </w:rPr>
        <w:t>”</w:t>
      </w:r>
      <w:r w:rsidRPr="006B0EBB">
        <w:rPr>
          <w:rFonts w:ascii="Times New Roman" w:hAnsi="Times New Roman" w:cs="Times New Roman"/>
        </w:rPr>
        <w:t xml:space="preserve"> for part or all of the liability assumed by the reinsured under a policy of insurance that it has issued. The reinsured may also be referred to as the </w:t>
      </w:r>
      <w:r>
        <w:rPr>
          <w:rFonts w:ascii="Times New Roman" w:hAnsi="Times New Roman" w:cs="Times New Roman"/>
        </w:rPr>
        <w:t>“</w:t>
      </w:r>
      <w:r w:rsidRPr="006B0EBB">
        <w:rPr>
          <w:rFonts w:ascii="Times New Roman" w:hAnsi="Times New Roman" w:cs="Times New Roman"/>
        </w:rPr>
        <w:t>original</w:t>
      </w:r>
      <w:r>
        <w:rPr>
          <w:rFonts w:ascii="Times New Roman" w:hAnsi="Times New Roman" w:cs="Times New Roman"/>
        </w:rPr>
        <w:t>”</w:t>
      </w:r>
      <w:r w:rsidRPr="006B0EBB">
        <w:rPr>
          <w:rFonts w:ascii="Times New Roman" w:hAnsi="Times New Roman" w:cs="Times New Roman"/>
        </w:rPr>
        <w:t xml:space="preserve"> or </w:t>
      </w:r>
      <w:r>
        <w:rPr>
          <w:rFonts w:ascii="Times New Roman" w:hAnsi="Times New Roman" w:cs="Times New Roman"/>
        </w:rPr>
        <w:t>“</w:t>
      </w:r>
      <w:r w:rsidRPr="006B0EBB">
        <w:rPr>
          <w:rFonts w:ascii="Times New Roman" w:hAnsi="Times New Roman" w:cs="Times New Roman"/>
        </w:rPr>
        <w:t>primary</w:t>
      </w:r>
      <w:r>
        <w:rPr>
          <w:rFonts w:ascii="Times New Roman" w:hAnsi="Times New Roman" w:cs="Times New Roman"/>
        </w:rPr>
        <w:t>”</w:t>
      </w:r>
      <w:r w:rsidRPr="006B0EBB">
        <w:rPr>
          <w:rFonts w:ascii="Times New Roman" w:hAnsi="Times New Roman" w:cs="Times New Roman"/>
        </w:rPr>
        <w:t xml:space="preserve"> insurer or the </w:t>
      </w:r>
      <w:r>
        <w:rPr>
          <w:rFonts w:ascii="Times New Roman" w:hAnsi="Times New Roman" w:cs="Times New Roman"/>
        </w:rPr>
        <w:t>“</w:t>
      </w:r>
      <w:r w:rsidRPr="006B0EBB">
        <w:rPr>
          <w:rFonts w:ascii="Times New Roman" w:hAnsi="Times New Roman" w:cs="Times New Roman"/>
        </w:rPr>
        <w:t>ceding company.</w:t>
      </w:r>
      <w:r>
        <w:rPr>
          <w:rFonts w:ascii="Times New Roman" w:hAnsi="Times New Roman" w:cs="Times New Roman"/>
        </w:rPr>
        <w:t>”  Captives commonly enter into reinsurance arrangements for a variety of reasons, including the following: (1) c</w:t>
      </w:r>
      <w:r w:rsidRPr="00D1289D">
        <w:rPr>
          <w:rFonts w:ascii="Times New Roman" w:hAnsi="Times New Roman" w:cs="Times New Roman"/>
        </w:rPr>
        <w:t>apacity management</w:t>
      </w:r>
      <w:r>
        <w:rPr>
          <w:rFonts w:ascii="Times New Roman" w:hAnsi="Times New Roman" w:cs="Times New Roman"/>
        </w:rPr>
        <w:t>, (2) p</w:t>
      </w:r>
      <w:r w:rsidRPr="00D1289D">
        <w:rPr>
          <w:rFonts w:ascii="Times New Roman" w:hAnsi="Times New Roman" w:cs="Times New Roman"/>
        </w:rPr>
        <w:t>remium surplus relief</w:t>
      </w:r>
      <w:r>
        <w:rPr>
          <w:rFonts w:ascii="Times New Roman" w:hAnsi="Times New Roman" w:cs="Times New Roman"/>
        </w:rPr>
        <w:t>, (3) s</w:t>
      </w:r>
      <w:r w:rsidRPr="00D1289D">
        <w:rPr>
          <w:rFonts w:ascii="Times New Roman" w:hAnsi="Times New Roman" w:cs="Times New Roman"/>
        </w:rPr>
        <w:t>tabilization of results</w:t>
      </w:r>
      <w:r>
        <w:rPr>
          <w:rFonts w:ascii="Times New Roman" w:hAnsi="Times New Roman" w:cs="Times New Roman"/>
        </w:rPr>
        <w:t>, (4) c</w:t>
      </w:r>
      <w:r w:rsidRPr="00472C7B">
        <w:rPr>
          <w:rFonts w:ascii="Times New Roman" w:hAnsi="Times New Roman" w:cs="Times New Roman"/>
        </w:rPr>
        <w:t>atastrophe protection</w:t>
      </w:r>
      <w:r>
        <w:rPr>
          <w:rFonts w:ascii="Times New Roman" w:hAnsi="Times New Roman" w:cs="Times New Roman"/>
        </w:rPr>
        <w:t>, (5) b</w:t>
      </w:r>
      <w:r w:rsidRPr="00472C7B">
        <w:rPr>
          <w:rFonts w:ascii="Times New Roman" w:hAnsi="Times New Roman" w:cs="Times New Roman"/>
        </w:rPr>
        <w:t>usiness withdrawal</w:t>
      </w:r>
      <w:r>
        <w:rPr>
          <w:rFonts w:ascii="Times New Roman" w:hAnsi="Times New Roman" w:cs="Times New Roman"/>
        </w:rPr>
        <w:t>, and (6) u</w:t>
      </w:r>
      <w:r w:rsidRPr="00472C7B">
        <w:rPr>
          <w:rFonts w:ascii="Times New Roman" w:hAnsi="Times New Roman" w:cs="Times New Roman"/>
        </w:rPr>
        <w:t>nderwriting expertise</w:t>
      </w:r>
      <w:r>
        <w:rPr>
          <w:rFonts w:ascii="Times New Roman" w:hAnsi="Times New Roman" w:cs="Times New Roman"/>
        </w:rPr>
        <w:t>.  See</w:t>
      </w:r>
      <w:r w:rsidRPr="00EC78A3">
        <w:rPr>
          <w:rFonts w:ascii="Times New Roman" w:hAnsi="Times New Roman" w:cs="Times New Roman"/>
        </w:rPr>
        <w:t xml:space="preserve"> article on Captive.com</w:t>
      </w:r>
      <w:r w:rsidRPr="00826A75">
        <w:rPr>
          <w:rFonts w:ascii="Times New Roman" w:hAnsi="Times New Roman" w:cs="Times New Roman"/>
        </w:rPr>
        <w:t xml:space="preserve">, </w:t>
      </w:r>
      <w:r w:rsidRPr="00F871DE">
        <w:rPr>
          <w:rFonts w:ascii="Times New Roman" w:hAnsi="Times New Roman" w:cs="Times New Roman"/>
        </w:rPr>
        <w:t>“How Do Captive Insurers Use Reinsurance?”</w:t>
      </w:r>
      <w:r>
        <w:rPr>
          <w:rFonts w:ascii="Times New Roman" w:hAnsi="Times New Roman" w:cs="Times New Roman"/>
        </w:rPr>
        <w:t xml:space="preserve"> published in 2015 by </w:t>
      </w:r>
      <w:r w:rsidRPr="00A04C54">
        <w:rPr>
          <w:rFonts w:ascii="Times New Roman" w:hAnsi="Times New Roman" w:cs="Times New Roman"/>
        </w:rPr>
        <w:t>International Risk Management Institute, Inc</w:t>
      </w:r>
      <w:r>
        <w:rPr>
          <w:rFonts w:ascii="Times New Roman" w:hAnsi="Times New Roman" w:cs="Times New Roman"/>
        </w:rPr>
        <w:t xml:space="preserve">.  </w:t>
      </w:r>
      <w:r w:rsidRPr="00EC78A3">
        <w:rPr>
          <w:rFonts w:ascii="Times New Roman" w:hAnsi="Times New Roman" w:cs="Times New Roman"/>
        </w:rPr>
        <w:t xml:space="preserve">The article can be found </w:t>
      </w:r>
      <w:hyperlink r:id="rId6" w:history="1">
        <w:r w:rsidRPr="005E1DBC">
          <w:rPr>
            <w:rStyle w:val="Hyperlink"/>
            <w:rFonts w:ascii="Times New Roman" w:hAnsi="Times New Roman" w:cs="Times New Roman"/>
          </w:rPr>
          <w:t>here</w:t>
        </w:r>
      </w:hyperlink>
      <w:r>
        <w:rPr>
          <w:rFonts w:ascii="Times New Roman" w:hAnsi="Times New Roman" w:cs="Times New Roman"/>
        </w:rPr>
        <w:t>.</w:t>
      </w:r>
    </w:p>
    <w:p w14:paraId="1A2569F7" w14:textId="77777777" w:rsidR="00FC046A" w:rsidRPr="006B0EBB" w:rsidRDefault="00FC046A" w:rsidP="008E3912">
      <w:pPr>
        <w:spacing w:after="0"/>
        <w:rPr>
          <w:rFonts w:ascii="Times New Roman" w:hAnsi="Times New Roman" w:cs="Times New Roman"/>
        </w:rPr>
      </w:pPr>
    </w:p>
  </w:endnote>
  <w:endnote w:id="126">
    <w:p w14:paraId="4E48CFF0" w14:textId="74E19C39" w:rsidR="00FC046A" w:rsidRDefault="00FC046A" w:rsidP="00937470">
      <w:pPr>
        <w:pStyle w:val="EndnoteText"/>
        <w:rPr>
          <w:rFonts w:ascii="Times New Roman" w:hAnsi="Times New Roman" w:cs="Times New Roman"/>
          <w:sz w:val="22"/>
          <w:szCs w:val="22"/>
        </w:rPr>
      </w:pPr>
      <w:r w:rsidRPr="00ED7CB5">
        <w:rPr>
          <w:rStyle w:val="EndnoteReference"/>
          <w:rFonts w:ascii="Times New Roman" w:hAnsi="Times New Roman" w:cs="Times New Roman"/>
          <w:sz w:val="22"/>
          <w:szCs w:val="22"/>
        </w:rPr>
        <w:endnoteRef/>
      </w:r>
      <w:r w:rsidRPr="00ED7CB5">
        <w:rPr>
          <w:rFonts w:ascii="Times New Roman" w:hAnsi="Times New Roman" w:cs="Times New Roman"/>
          <w:sz w:val="22"/>
          <w:szCs w:val="22"/>
        </w:rPr>
        <w:t xml:space="preserve"> </w:t>
      </w:r>
      <w:r>
        <w:rPr>
          <w:rFonts w:ascii="Times New Roman" w:hAnsi="Times New Roman" w:cs="Times New Roman"/>
          <w:sz w:val="22"/>
          <w:szCs w:val="22"/>
        </w:rPr>
        <w:t>See Opinion at 46-47: “</w:t>
      </w:r>
      <w:r w:rsidRPr="003205DB">
        <w:rPr>
          <w:rFonts w:ascii="Times New Roman" w:hAnsi="Times New Roman" w:cs="Times New Roman"/>
          <w:sz w:val="22"/>
          <w:szCs w:val="22"/>
        </w:rPr>
        <w:t>Reserve contends that liability for the pool of vehicle service contracts generated losses that offset premiums received during the tax years in issue. It failed to provide evidence that the vehicle service contracts, which formed the basis for the reinsurance that PoolRe re</w:t>
      </w:r>
      <w:r>
        <w:rPr>
          <w:rFonts w:ascii="Times New Roman" w:hAnsi="Times New Roman" w:cs="Times New Roman"/>
          <w:sz w:val="22"/>
          <w:szCs w:val="22"/>
        </w:rPr>
        <w:t>-</w:t>
      </w:r>
      <w:r w:rsidRPr="003205DB">
        <w:rPr>
          <w:rFonts w:ascii="Times New Roman" w:hAnsi="Times New Roman" w:cs="Times New Roman"/>
          <w:sz w:val="22"/>
          <w:szCs w:val="22"/>
        </w:rPr>
        <w:t>ceded in the coinsurance contracts,</w:t>
      </w:r>
      <w:r>
        <w:rPr>
          <w:rFonts w:ascii="Times New Roman" w:hAnsi="Times New Roman" w:cs="Times New Roman"/>
          <w:sz w:val="22"/>
          <w:szCs w:val="22"/>
        </w:rPr>
        <w:t xml:space="preserve"> </w:t>
      </w:r>
      <w:r w:rsidRPr="003205DB">
        <w:rPr>
          <w:rFonts w:ascii="Times New Roman" w:hAnsi="Times New Roman" w:cs="Times New Roman"/>
          <w:sz w:val="22"/>
          <w:szCs w:val="22"/>
        </w:rPr>
        <w:t>actually existed. Fagg described a series of ceding transactions (i.e., from Lyndon to ARIA, from ARIA to CreditRe, and from CreditRe to PoolRe). Even if we agree with Reserve about the validity of the coinsurance contracts, any actual risk that PoolRe had in connection with the vehicle service contracts was de minimis, because PoolRe assumed liability for a small, blended portion of the overall pool of vehicle service contracts, and it re</w:t>
      </w:r>
      <w:r>
        <w:rPr>
          <w:rFonts w:ascii="Times New Roman" w:hAnsi="Times New Roman" w:cs="Times New Roman"/>
          <w:sz w:val="22"/>
          <w:szCs w:val="22"/>
        </w:rPr>
        <w:t>-</w:t>
      </w:r>
      <w:r w:rsidRPr="003205DB">
        <w:rPr>
          <w:rFonts w:ascii="Times New Roman" w:hAnsi="Times New Roman" w:cs="Times New Roman"/>
          <w:sz w:val="22"/>
          <w:szCs w:val="22"/>
        </w:rPr>
        <w:t xml:space="preserve">ceded most or all of that liability to the Capstone entities. The amount ceded to Reserve was also de minimis. </w:t>
      </w:r>
      <w:r>
        <w:rPr>
          <w:rFonts w:ascii="Times New Roman" w:hAnsi="Times New Roman" w:cs="Times New Roman"/>
          <w:sz w:val="22"/>
          <w:szCs w:val="22"/>
        </w:rPr>
        <w:t xml:space="preserve"> </w:t>
      </w:r>
      <w:r w:rsidRPr="003205DB">
        <w:rPr>
          <w:rFonts w:ascii="Times New Roman" w:hAnsi="Times New Roman" w:cs="Times New Roman"/>
          <w:sz w:val="22"/>
          <w:szCs w:val="22"/>
        </w:rPr>
        <w:t>On the basis of the relevant facts and circumstances we conclude that the coinsurance contracts were not bona fide</w:t>
      </w:r>
      <w:r>
        <w:rPr>
          <w:rFonts w:ascii="Times New Roman" w:hAnsi="Times New Roman" w:cs="Times New Roman"/>
          <w:sz w:val="22"/>
          <w:szCs w:val="22"/>
        </w:rPr>
        <w:t xml:space="preserve"> </w:t>
      </w:r>
      <w:r w:rsidRPr="003205DB">
        <w:rPr>
          <w:rFonts w:ascii="Times New Roman" w:hAnsi="Times New Roman" w:cs="Times New Roman"/>
          <w:sz w:val="22"/>
          <w:szCs w:val="22"/>
        </w:rPr>
        <w:t>reinsurance agreements. Reserve has not established that the contracts underlying the purported reinsurance transactions existed or that the transactions involved actual risk.</w:t>
      </w:r>
      <w:r>
        <w:rPr>
          <w:rFonts w:ascii="Times New Roman" w:hAnsi="Times New Roman" w:cs="Times New Roman"/>
          <w:sz w:val="22"/>
          <w:szCs w:val="22"/>
        </w:rPr>
        <w:t xml:space="preserve">”  </w:t>
      </w:r>
      <w:r w:rsidRPr="00984316">
        <w:rPr>
          <w:rFonts w:ascii="Times New Roman" w:hAnsi="Times New Roman" w:cs="Times New Roman"/>
          <w:b/>
          <w:sz w:val="22"/>
          <w:szCs w:val="22"/>
        </w:rPr>
        <w:t xml:space="preserve">The Court’s above statements demonstrate that the Court failed to consider the nature of Reserve’s reinsurance arrangements and </w:t>
      </w:r>
      <w:r>
        <w:rPr>
          <w:rFonts w:ascii="Times New Roman" w:hAnsi="Times New Roman" w:cs="Times New Roman"/>
          <w:b/>
          <w:sz w:val="22"/>
          <w:szCs w:val="22"/>
        </w:rPr>
        <w:t xml:space="preserve">did not recognize </w:t>
      </w:r>
      <w:r w:rsidRPr="00984316">
        <w:rPr>
          <w:rFonts w:ascii="Times New Roman" w:hAnsi="Times New Roman" w:cs="Times New Roman"/>
          <w:b/>
          <w:sz w:val="22"/>
          <w:szCs w:val="22"/>
        </w:rPr>
        <w:t>the fact that Reserve’s reinsurance arrangements are treaty, not facultative, reinsurance arrangements.</w:t>
      </w:r>
      <w:r>
        <w:rPr>
          <w:rFonts w:ascii="Times New Roman" w:hAnsi="Times New Roman" w:cs="Times New Roman"/>
          <w:b/>
          <w:sz w:val="22"/>
          <w:szCs w:val="22"/>
        </w:rPr>
        <w:t xml:space="preserve">  </w:t>
      </w:r>
      <w:r w:rsidRPr="002C6B76">
        <w:rPr>
          <w:rFonts w:ascii="Times New Roman" w:hAnsi="Times New Roman" w:cs="Times New Roman"/>
          <w:sz w:val="22"/>
          <w:szCs w:val="22"/>
        </w:rPr>
        <w:t>Both types of reinsurance are described below.  The Court incorrectly faulted Reserve for not having conducted itself in accordance with facultative reinsurance arrangements.</w:t>
      </w:r>
      <w:r>
        <w:rPr>
          <w:rFonts w:ascii="Times New Roman" w:hAnsi="Times New Roman" w:cs="Times New Roman"/>
          <w:sz w:val="22"/>
          <w:szCs w:val="22"/>
        </w:rPr>
        <w:t xml:space="preserve">  The fact that Reserve as a relatively small insurer “only” assumed </w:t>
      </w:r>
      <w:r w:rsidRPr="007C240A">
        <w:rPr>
          <w:rFonts w:ascii="Times New Roman" w:hAnsi="Times New Roman" w:cs="Times New Roman"/>
          <w:sz w:val="22"/>
          <w:szCs w:val="22"/>
        </w:rPr>
        <w:t>$</w:t>
      </w:r>
      <w:r>
        <w:rPr>
          <w:rFonts w:ascii="Times New Roman" w:hAnsi="Times New Roman" w:cs="Times New Roman"/>
          <w:sz w:val="22"/>
          <w:szCs w:val="22"/>
        </w:rPr>
        <w:t>66</w:t>
      </w:r>
      <w:r w:rsidRPr="007C240A">
        <w:rPr>
          <w:rFonts w:ascii="Times New Roman" w:hAnsi="Times New Roman" w:cs="Times New Roman"/>
          <w:sz w:val="22"/>
          <w:szCs w:val="22"/>
        </w:rPr>
        <w:t>,000</w:t>
      </w:r>
      <w:r>
        <w:rPr>
          <w:rFonts w:ascii="Times New Roman" w:hAnsi="Times New Roman" w:cs="Times New Roman"/>
          <w:sz w:val="22"/>
          <w:szCs w:val="22"/>
        </w:rPr>
        <w:t xml:space="preserve"> (in 2010, for example, which was almost 14% of Reserve’s overall 2008 revenues) in premiums related to the third-party insurance generated by Lyndon cannot result in a legal conclusion that its “de minimis” nature somehow negated that it was in fact insurance.</w:t>
      </w:r>
    </w:p>
    <w:p w14:paraId="27D5E086" w14:textId="77777777" w:rsidR="00FC046A" w:rsidRDefault="00FC046A" w:rsidP="00937470">
      <w:pPr>
        <w:pStyle w:val="EndnoteText"/>
        <w:rPr>
          <w:rFonts w:ascii="Times New Roman" w:hAnsi="Times New Roman" w:cs="Times New Roman"/>
          <w:sz w:val="22"/>
          <w:szCs w:val="22"/>
        </w:rPr>
      </w:pPr>
    </w:p>
    <w:p w14:paraId="2DFD9A3F" w14:textId="2CA3DCD0" w:rsidR="00FC046A" w:rsidRDefault="00FC046A" w:rsidP="00BE6DD9">
      <w:pPr>
        <w:pStyle w:val="EndnoteText"/>
        <w:rPr>
          <w:rFonts w:ascii="Times New Roman" w:hAnsi="Times New Roman" w:cs="Times New Roman"/>
          <w:sz w:val="22"/>
          <w:szCs w:val="22"/>
        </w:rPr>
      </w:pPr>
      <w:r>
        <w:rPr>
          <w:rFonts w:ascii="Times New Roman" w:hAnsi="Times New Roman" w:cs="Times New Roman"/>
          <w:sz w:val="22"/>
          <w:szCs w:val="22"/>
        </w:rPr>
        <w:t>R</w:t>
      </w:r>
      <w:r w:rsidRPr="003A5472">
        <w:rPr>
          <w:rFonts w:ascii="Times New Roman" w:hAnsi="Times New Roman" w:cs="Times New Roman"/>
          <w:sz w:val="22"/>
          <w:szCs w:val="22"/>
        </w:rPr>
        <w:t>einsurance agreements generally take one of two basic forms, either “treaty” or</w:t>
      </w:r>
      <w:r>
        <w:rPr>
          <w:rFonts w:ascii="Times New Roman" w:hAnsi="Times New Roman" w:cs="Times New Roman"/>
          <w:sz w:val="22"/>
          <w:szCs w:val="22"/>
        </w:rPr>
        <w:t xml:space="preserve"> </w:t>
      </w:r>
      <w:r w:rsidRPr="003A5472">
        <w:rPr>
          <w:rFonts w:ascii="Times New Roman" w:hAnsi="Times New Roman" w:cs="Times New Roman"/>
          <w:sz w:val="22"/>
          <w:szCs w:val="22"/>
        </w:rPr>
        <w:t>“facultative” agreements.</w:t>
      </w:r>
      <w:r>
        <w:rPr>
          <w:rFonts w:ascii="Times New Roman" w:hAnsi="Times New Roman" w:cs="Times New Roman"/>
          <w:sz w:val="22"/>
          <w:szCs w:val="22"/>
        </w:rPr>
        <w:t xml:space="preserve">  Under “</w:t>
      </w:r>
      <w:r w:rsidRPr="00E90424">
        <w:rPr>
          <w:rFonts w:ascii="Times New Roman" w:hAnsi="Times New Roman" w:cs="Times New Roman"/>
          <w:b/>
          <w:sz w:val="22"/>
          <w:szCs w:val="22"/>
        </w:rPr>
        <w:t>treaty reinsurance</w:t>
      </w:r>
      <w:r>
        <w:rPr>
          <w:rFonts w:ascii="Times New Roman" w:hAnsi="Times New Roman" w:cs="Times New Roman"/>
          <w:sz w:val="22"/>
          <w:szCs w:val="22"/>
        </w:rPr>
        <w:t>,”</w:t>
      </w:r>
      <w:r w:rsidRPr="005D56D8">
        <w:rPr>
          <w:rFonts w:ascii="Times New Roman" w:hAnsi="Times New Roman" w:cs="Times New Roman"/>
          <w:sz w:val="22"/>
          <w:szCs w:val="22"/>
        </w:rPr>
        <w:t xml:space="preserve"> </w:t>
      </w:r>
      <w:r>
        <w:rPr>
          <w:rFonts w:ascii="Times New Roman" w:hAnsi="Times New Roman" w:cs="Times New Roman"/>
          <w:sz w:val="22"/>
          <w:szCs w:val="22"/>
        </w:rPr>
        <w:t xml:space="preserve">there is a </w:t>
      </w:r>
      <w:r w:rsidRPr="005D56D8">
        <w:rPr>
          <w:rFonts w:ascii="Times New Roman" w:hAnsi="Times New Roman" w:cs="Times New Roman"/>
          <w:sz w:val="22"/>
          <w:szCs w:val="22"/>
        </w:rPr>
        <w:t>standing reinsurance agreement</w:t>
      </w:r>
      <w:r>
        <w:rPr>
          <w:rFonts w:ascii="Times New Roman" w:hAnsi="Times New Roman" w:cs="Times New Roman"/>
          <w:sz w:val="22"/>
          <w:szCs w:val="22"/>
        </w:rPr>
        <w:t xml:space="preserve"> whereby,</w:t>
      </w:r>
      <w:r w:rsidRPr="005D56D8">
        <w:rPr>
          <w:rFonts w:ascii="Times New Roman" w:hAnsi="Times New Roman" w:cs="Times New Roman"/>
          <w:sz w:val="22"/>
          <w:szCs w:val="22"/>
        </w:rPr>
        <w:t xml:space="preserve"> in exchange for an agreed premium,</w:t>
      </w:r>
      <w:r>
        <w:rPr>
          <w:rFonts w:ascii="Times New Roman" w:hAnsi="Times New Roman" w:cs="Times New Roman"/>
          <w:sz w:val="22"/>
          <w:szCs w:val="22"/>
        </w:rPr>
        <w:t xml:space="preserve"> </w:t>
      </w:r>
      <w:r w:rsidRPr="005D56D8">
        <w:rPr>
          <w:rFonts w:ascii="Times New Roman" w:hAnsi="Times New Roman" w:cs="Times New Roman"/>
          <w:sz w:val="22"/>
          <w:szCs w:val="22"/>
        </w:rPr>
        <w:t xml:space="preserve">the treaty covers </w:t>
      </w:r>
      <w:r w:rsidRPr="00BB4E83">
        <w:rPr>
          <w:rFonts w:ascii="Times New Roman" w:hAnsi="Times New Roman" w:cs="Times New Roman"/>
          <w:sz w:val="22"/>
          <w:szCs w:val="22"/>
          <w:u w:val="single"/>
        </w:rPr>
        <w:t>a class of insurance risks specified in the contract</w:t>
      </w:r>
      <w:r w:rsidRPr="005D56D8">
        <w:rPr>
          <w:rFonts w:ascii="Times New Roman" w:hAnsi="Times New Roman" w:cs="Times New Roman"/>
          <w:sz w:val="22"/>
          <w:szCs w:val="22"/>
        </w:rPr>
        <w:t>. Typically</w:t>
      </w:r>
      <w:r>
        <w:rPr>
          <w:rFonts w:ascii="Times New Roman" w:hAnsi="Times New Roman" w:cs="Times New Roman"/>
          <w:sz w:val="22"/>
          <w:szCs w:val="22"/>
        </w:rPr>
        <w:t>,</w:t>
      </w:r>
      <w:r w:rsidRPr="005D56D8">
        <w:rPr>
          <w:rFonts w:ascii="Times New Roman" w:hAnsi="Times New Roman" w:cs="Times New Roman"/>
          <w:sz w:val="22"/>
          <w:szCs w:val="22"/>
        </w:rPr>
        <w:t xml:space="preserve"> the “cession” of</w:t>
      </w:r>
      <w:r>
        <w:rPr>
          <w:rFonts w:ascii="Times New Roman" w:hAnsi="Times New Roman" w:cs="Times New Roman"/>
          <w:sz w:val="22"/>
          <w:szCs w:val="22"/>
        </w:rPr>
        <w:t xml:space="preserve"> </w:t>
      </w:r>
      <w:r w:rsidRPr="005D56D8">
        <w:rPr>
          <w:rFonts w:ascii="Times New Roman" w:hAnsi="Times New Roman" w:cs="Times New Roman"/>
          <w:sz w:val="22"/>
          <w:szCs w:val="22"/>
        </w:rPr>
        <w:t>the reinsured business by the cedent and the assumption of that business by the reinsurer are</w:t>
      </w:r>
      <w:r>
        <w:rPr>
          <w:rFonts w:ascii="Times New Roman" w:hAnsi="Times New Roman" w:cs="Times New Roman"/>
          <w:sz w:val="22"/>
          <w:szCs w:val="22"/>
        </w:rPr>
        <w:t xml:space="preserve"> </w:t>
      </w:r>
      <w:r w:rsidRPr="005D56D8">
        <w:rPr>
          <w:rFonts w:ascii="Times New Roman" w:hAnsi="Times New Roman" w:cs="Times New Roman"/>
          <w:sz w:val="22"/>
          <w:szCs w:val="22"/>
        </w:rPr>
        <w:t>obligatory pursuant to treaty terms. That is, under treaty reinsurance premium</w:t>
      </w:r>
      <w:r>
        <w:rPr>
          <w:rFonts w:ascii="Times New Roman" w:hAnsi="Times New Roman" w:cs="Times New Roman"/>
          <w:sz w:val="22"/>
          <w:szCs w:val="22"/>
        </w:rPr>
        <w:t xml:space="preserve">, </w:t>
      </w:r>
      <w:r w:rsidRPr="005D56D8">
        <w:rPr>
          <w:rFonts w:ascii="Times New Roman" w:hAnsi="Times New Roman" w:cs="Times New Roman"/>
          <w:sz w:val="22"/>
          <w:szCs w:val="22"/>
        </w:rPr>
        <w:t>losses</w:t>
      </w:r>
      <w:r>
        <w:rPr>
          <w:rFonts w:ascii="Times New Roman" w:hAnsi="Times New Roman" w:cs="Times New Roman"/>
          <w:sz w:val="22"/>
          <w:szCs w:val="22"/>
        </w:rPr>
        <w:t xml:space="preserve"> </w:t>
      </w:r>
      <w:r w:rsidRPr="005D56D8">
        <w:rPr>
          <w:rFonts w:ascii="Times New Roman" w:hAnsi="Times New Roman" w:cs="Times New Roman"/>
          <w:sz w:val="22"/>
          <w:szCs w:val="22"/>
        </w:rPr>
        <w:t xml:space="preserve">associated with the covered risks are automatically covered by the agreement to be transferred </w:t>
      </w:r>
      <w:r>
        <w:rPr>
          <w:rFonts w:ascii="Times New Roman" w:hAnsi="Times New Roman" w:cs="Times New Roman"/>
          <w:sz w:val="22"/>
          <w:szCs w:val="22"/>
        </w:rPr>
        <w:t xml:space="preserve">to the </w:t>
      </w:r>
      <w:r w:rsidRPr="005D56D8">
        <w:rPr>
          <w:rFonts w:ascii="Times New Roman" w:hAnsi="Times New Roman" w:cs="Times New Roman"/>
          <w:sz w:val="22"/>
          <w:szCs w:val="22"/>
        </w:rPr>
        <w:t>reinsurers</w:t>
      </w:r>
      <w:r>
        <w:rPr>
          <w:rFonts w:ascii="Times New Roman" w:hAnsi="Times New Roman" w:cs="Times New Roman"/>
          <w:sz w:val="22"/>
          <w:szCs w:val="22"/>
        </w:rPr>
        <w:t>.  T</w:t>
      </w:r>
      <w:r w:rsidRPr="005D56D8">
        <w:rPr>
          <w:rFonts w:ascii="Times New Roman" w:hAnsi="Times New Roman" w:cs="Times New Roman"/>
          <w:sz w:val="22"/>
          <w:szCs w:val="22"/>
        </w:rPr>
        <w:t>he</w:t>
      </w:r>
      <w:r>
        <w:rPr>
          <w:rFonts w:ascii="Times New Roman" w:hAnsi="Times New Roman" w:cs="Times New Roman"/>
          <w:sz w:val="22"/>
          <w:szCs w:val="22"/>
        </w:rPr>
        <w:t xml:space="preserve"> </w:t>
      </w:r>
      <w:r w:rsidRPr="005D56D8">
        <w:rPr>
          <w:rFonts w:ascii="Times New Roman" w:hAnsi="Times New Roman" w:cs="Times New Roman"/>
          <w:sz w:val="22"/>
          <w:szCs w:val="22"/>
        </w:rPr>
        <w:t>reinsurer does not analyze the reinsured business on a policy-by</w:t>
      </w:r>
      <w:r>
        <w:rPr>
          <w:rFonts w:ascii="Times New Roman" w:hAnsi="Times New Roman" w:cs="Times New Roman"/>
          <w:sz w:val="22"/>
          <w:szCs w:val="22"/>
        </w:rPr>
        <w:t>-</w:t>
      </w:r>
      <w:r w:rsidRPr="005D56D8">
        <w:rPr>
          <w:rFonts w:ascii="Times New Roman" w:hAnsi="Times New Roman" w:cs="Times New Roman"/>
          <w:sz w:val="22"/>
          <w:szCs w:val="22"/>
        </w:rPr>
        <w:t>policy</w:t>
      </w:r>
      <w:r>
        <w:rPr>
          <w:rFonts w:ascii="Times New Roman" w:hAnsi="Times New Roman" w:cs="Times New Roman"/>
          <w:sz w:val="22"/>
          <w:szCs w:val="22"/>
        </w:rPr>
        <w:t xml:space="preserve"> </w:t>
      </w:r>
      <w:r w:rsidRPr="005D56D8">
        <w:rPr>
          <w:rFonts w:ascii="Times New Roman" w:hAnsi="Times New Roman" w:cs="Times New Roman"/>
          <w:sz w:val="22"/>
          <w:szCs w:val="22"/>
        </w:rPr>
        <w:t>basis before accepting the risk cession</w:t>
      </w:r>
      <w:r>
        <w:rPr>
          <w:rFonts w:ascii="Times New Roman" w:hAnsi="Times New Roman" w:cs="Times New Roman"/>
          <w:sz w:val="22"/>
          <w:szCs w:val="22"/>
        </w:rPr>
        <w:t xml:space="preserve">.  Treaty reinsurance was in place in the case of the Reserve-PoolRe-CreditRe-Aria-Lyndon arrangement.  </w:t>
      </w:r>
    </w:p>
    <w:p w14:paraId="7D5B4542" w14:textId="77777777" w:rsidR="00FC046A" w:rsidRDefault="00FC046A" w:rsidP="00BE6DD9">
      <w:pPr>
        <w:pStyle w:val="EndnoteText"/>
        <w:rPr>
          <w:rFonts w:ascii="Times New Roman" w:hAnsi="Times New Roman" w:cs="Times New Roman"/>
          <w:sz w:val="22"/>
          <w:szCs w:val="22"/>
        </w:rPr>
      </w:pPr>
    </w:p>
    <w:p w14:paraId="7AD5A6D5" w14:textId="516394F7" w:rsidR="00FC046A" w:rsidRDefault="00FC046A" w:rsidP="00BE6DD9">
      <w:pPr>
        <w:pStyle w:val="EndnoteText"/>
        <w:rPr>
          <w:rFonts w:ascii="Times New Roman" w:hAnsi="Times New Roman" w:cs="Times New Roman"/>
          <w:sz w:val="22"/>
          <w:szCs w:val="22"/>
        </w:rPr>
      </w:pPr>
      <w:r>
        <w:rPr>
          <w:rFonts w:ascii="Times New Roman" w:hAnsi="Times New Roman" w:cs="Times New Roman"/>
          <w:sz w:val="22"/>
          <w:szCs w:val="22"/>
        </w:rPr>
        <w:t xml:space="preserve">In contrast with </w:t>
      </w:r>
      <w:r w:rsidRPr="00FA0BEF">
        <w:rPr>
          <w:rFonts w:ascii="Times New Roman" w:hAnsi="Times New Roman" w:cs="Times New Roman"/>
          <w:sz w:val="22"/>
          <w:szCs w:val="22"/>
        </w:rPr>
        <w:t xml:space="preserve">treaty reinsurance, </w:t>
      </w:r>
      <w:r>
        <w:rPr>
          <w:rFonts w:ascii="Times New Roman" w:hAnsi="Times New Roman" w:cs="Times New Roman"/>
          <w:sz w:val="22"/>
          <w:szCs w:val="22"/>
        </w:rPr>
        <w:t>“</w:t>
      </w:r>
      <w:r w:rsidRPr="000A00B4">
        <w:rPr>
          <w:rFonts w:ascii="Times New Roman" w:hAnsi="Times New Roman" w:cs="Times New Roman"/>
          <w:b/>
          <w:sz w:val="22"/>
          <w:szCs w:val="22"/>
        </w:rPr>
        <w:t>facultative reinsurance</w:t>
      </w:r>
      <w:r>
        <w:rPr>
          <w:rFonts w:ascii="Times New Roman" w:hAnsi="Times New Roman" w:cs="Times New Roman"/>
          <w:sz w:val="22"/>
          <w:szCs w:val="22"/>
        </w:rPr>
        <w:t>”</w:t>
      </w:r>
      <w:r w:rsidRPr="00FA0BEF">
        <w:rPr>
          <w:rFonts w:ascii="Times New Roman" w:hAnsi="Times New Roman" w:cs="Times New Roman"/>
          <w:sz w:val="22"/>
          <w:szCs w:val="22"/>
        </w:rPr>
        <w:t xml:space="preserve"> does not result in an automatic cession of risk</w:t>
      </w:r>
      <w:r>
        <w:rPr>
          <w:rFonts w:ascii="Times New Roman" w:hAnsi="Times New Roman" w:cs="Times New Roman"/>
          <w:sz w:val="22"/>
          <w:szCs w:val="22"/>
        </w:rPr>
        <w:t xml:space="preserve"> </w:t>
      </w:r>
      <w:r w:rsidRPr="00FA0BEF">
        <w:rPr>
          <w:rFonts w:ascii="Times New Roman" w:hAnsi="Times New Roman" w:cs="Times New Roman"/>
          <w:sz w:val="22"/>
          <w:szCs w:val="22"/>
        </w:rPr>
        <w:t>by the cedent, nor an automatic acceptance of risk by a reinsurer. Instead, facultative reinsurance</w:t>
      </w:r>
      <w:r>
        <w:rPr>
          <w:rFonts w:ascii="Times New Roman" w:hAnsi="Times New Roman" w:cs="Times New Roman"/>
          <w:sz w:val="22"/>
          <w:szCs w:val="22"/>
        </w:rPr>
        <w:t xml:space="preserve"> </w:t>
      </w:r>
      <w:r w:rsidRPr="00FA0BEF">
        <w:rPr>
          <w:rFonts w:ascii="Times New Roman" w:hAnsi="Times New Roman" w:cs="Times New Roman"/>
          <w:sz w:val="22"/>
          <w:szCs w:val="22"/>
        </w:rPr>
        <w:t xml:space="preserve">permits an insurer to decide which </w:t>
      </w:r>
      <w:r w:rsidRPr="00456BA9">
        <w:rPr>
          <w:rFonts w:ascii="Times New Roman" w:hAnsi="Times New Roman" w:cs="Times New Roman"/>
          <w:sz w:val="22"/>
          <w:szCs w:val="22"/>
        </w:rPr>
        <w:t xml:space="preserve">specific insured risks will be submitted to a reinsurer for consideration. Upon such submission, the reinsurer has the opportunity to underwrite the individual risk and may elect to accept or decline such risk.  See Fed. Ins. Office (“FIO”), U.S. Dep’t of </w:t>
      </w:r>
      <w:r w:rsidRPr="00456BA9">
        <w:rPr>
          <w:rFonts w:ascii="Times New Roman" w:hAnsi="Times New Roman" w:cs="Times New Roman"/>
          <w:sz w:val="22"/>
          <w:szCs w:val="22"/>
        </w:rPr>
        <w:fldChar w:fldCharType="begin"/>
      </w:r>
      <w:r w:rsidRPr="00456BA9">
        <w:rPr>
          <w:rFonts w:ascii="Times New Roman" w:hAnsi="Times New Roman" w:cs="Times New Roman"/>
          <w:sz w:val="22"/>
          <w:szCs w:val="22"/>
        </w:rPr>
        <w:instrText xml:space="preserve"> ADDIN BA \xc &lt;@nper&gt; \xl 282 \s GFWEGR000010 \l "Treas., </w:instrText>
      </w:r>
      <w:r w:rsidRPr="00456BA9">
        <w:rPr>
          <w:rFonts w:ascii="Times New Roman" w:hAnsi="Times New Roman" w:cs="Times New Roman"/>
          <w:sz w:val="22"/>
          <w:szCs w:val="22"/>
          <w:u w:val="single"/>
        </w:rPr>
        <w:instrText>The Breadth and Scope of the Global Reinsurance Market and the Critical Role Such Market Plays in Supporting Insurance in the United States</w:instrText>
      </w:r>
      <w:r w:rsidRPr="00456BA9">
        <w:rPr>
          <w:rFonts w:ascii="Times New Roman" w:hAnsi="Times New Roman" w:cs="Times New Roman"/>
          <w:sz w:val="22"/>
          <w:szCs w:val="22"/>
        </w:rPr>
        <w:instrText xml:space="preserve"> (Dec. 2014), </w:instrText>
      </w:r>
      <w:r w:rsidRPr="00456BA9">
        <w:rPr>
          <w:rFonts w:ascii="Times New Roman" w:hAnsi="Times New Roman" w:cs="Times New Roman"/>
          <w:sz w:val="22"/>
          <w:szCs w:val="22"/>
          <w:u w:val="single"/>
        </w:rPr>
        <w:instrText>available</w:instrText>
      </w:r>
      <w:r w:rsidRPr="00456BA9">
        <w:rPr>
          <w:rFonts w:ascii="Times New Roman" w:hAnsi="Times New Roman" w:cs="Times New Roman"/>
          <w:sz w:val="22"/>
          <w:szCs w:val="22"/>
        </w:rPr>
        <w:instrText xml:space="preserve"> </w:instrText>
      </w:r>
      <w:r w:rsidRPr="00456BA9">
        <w:rPr>
          <w:rFonts w:ascii="Times New Roman" w:hAnsi="Times New Roman" w:cs="Times New Roman"/>
          <w:sz w:val="22"/>
          <w:szCs w:val="22"/>
          <w:u w:val="single"/>
        </w:rPr>
        <w:instrText>at</w:instrText>
      </w:r>
      <w:r w:rsidRPr="00456BA9">
        <w:rPr>
          <w:rFonts w:ascii="Times New Roman" w:hAnsi="Times New Roman" w:cs="Times New Roman"/>
          <w:sz w:val="22"/>
          <w:szCs w:val="22"/>
        </w:rPr>
        <w:instrText xml:space="preserve"> https://www.treasury.gov/initiatives/fio/reports-and-notices/Documents/FIO%20-Reinsurance%20Report.pdf" </w:instrText>
      </w:r>
      <w:r w:rsidRPr="00456BA9">
        <w:rPr>
          <w:rFonts w:ascii="Times New Roman" w:hAnsi="Times New Roman" w:cs="Times New Roman"/>
          <w:sz w:val="22"/>
          <w:szCs w:val="22"/>
        </w:rPr>
        <w:fldChar w:fldCharType="end"/>
      </w:r>
      <w:bookmarkStart w:id="7" w:name="_BA_Cite_10"/>
      <w:r w:rsidRPr="00456BA9">
        <w:rPr>
          <w:rFonts w:ascii="Times New Roman" w:hAnsi="Times New Roman" w:cs="Times New Roman"/>
          <w:sz w:val="22"/>
          <w:szCs w:val="22"/>
        </w:rPr>
        <w:t xml:space="preserve">Treas., </w:t>
      </w:r>
      <w:r w:rsidRPr="00456BA9">
        <w:rPr>
          <w:rFonts w:ascii="Times New Roman" w:hAnsi="Times New Roman" w:cs="Times New Roman"/>
          <w:sz w:val="22"/>
          <w:szCs w:val="22"/>
          <w:u w:val="single"/>
        </w:rPr>
        <w:t>The Breadth and Scope of the Global Reinsurance Market and the Critical Role Such Market Plays in Supporting Insurance in the United States</w:t>
      </w:r>
      <w:r w:rsidRPr="00456BA9">
        <w:rPr>
          <w:rFonts w:ascii="Times New Roman" w:hAnsi="Times New Roman" w:cs="Times New Roman"/>
          <w:sz w:val="22"/>
          <w:szCs w:val="22"/>
        </w:rPr>
        <w:t xml:space="preserve">, p. 7 (Dec. 2014), </w:t>
      </w:r>
      <w:r w:rsidRPr="00456BA9">
        <w:rPr>
          <w:rFonts w:ascii="Times New Roman" w:hAnsi="Times New Roman" w:cs="Times New Roman"/>
          <w:sz w:val="22"/>
          <w:szCs w:val="22"/>
          <w:u w:val="single"/>
        </w:rPr>
        <w:t>available</w:t>
      </w:r>
      <w:r w:rsidRPr="00456BA9">
        <w:rPr>
          <w:rFonts w:ascii="Times New Roman" w:hAnsi="Times New Roman" w:cs="Times New Roman"/>
          <w:sz w:val="22"/>
          <w:szCs w:val="22"/>
        </w:rPr>
        <w:t xml:space="preserve"> </w:t>
      </w:r>
      <w:r w:rsidRPr="00456BA9">
        <w:rPr>
          <w:rFonts w:ascii="Times New Roman" w:hAnsi="Times New Roman" w:cs="Times New Roman"/>
          <w:sz w:val="22"/>
          <w:szCs w:val="22"/>
          <w:u w:val="single"/>
        </w:rPr>
        <w:t>at</w:t>
      </w:r>
      <w:r w:rsidRPr="00456BA9">
        <w:rPr>
          <w:rFonts w:ascii="Times New Roman" w:hAnsi="Times New Roman" w:cs="Times New Roman"/>
          <w:sz w:val="22"/>
          <w:szCs w:val="22"/>
        </w:rPr>
        <w:t xml:space="preserve"> </w:t>
      </w:r>
      <w:hyperlink r:id="rId7" w:history="1">
        <w:r w:rsidRPr="003023D2">
          <w:rPr>
            <w:rStyle w:val="Hyperlink"/>
            <w:rFonts w:ascii="Times New Roman" w:hAnsi="Times New Roman" w:cs="Times New Roman"/>
            <w:sz w:val="22"/>
            <w:szCs w:val="22"/>
          </w:rPr>
          <w:t>https://www.treasury.gov/initiatives/fio/reports-and-notices/Documents/FIO%20-Reinsurance%20Report.pdf</w:t>
        </w:r>
      </w:hyperlink>
      <w:bookmarkEnd w:id="7"/>
      <w:r w:rsidRPr="00456BA9">
        <w:rPr>
          <w:rFonts w:ascii="Times New Roman" w:hAnsi="Times New Roman" w:cs="Times New Roman"/>
          <w:sz w:val="22"/>
          <w:szCs w:val="22"/>
        </w:rPr>
        <w:t>.</w:t>
      </w:r>
      <w:r>
        <w:rPr>
          <w:rFonts w:ascii="Times New Roman" w:hAnsi="Times New Roman" w:cs="Times New Roman"/>
          <w:sz w:val="22"/>
          <w:szCs w:val="22"/>
        </w:rPr>
        <w:t xml:space="preserve">  </w:t>
      </w:r>
      <w:r w:rsidRPr="00456BA9">
        <w:rPr>
          <w:rFonts w:ascii="Times New Roman" w:hAnsi="Times New Roman" w:cs="Times New Roman"/>
          <w:sz w:val="22"/>
          <w:szCs w:val="22"/>
        </w:rPr>
        <w:t xml:space="preserve">This </w:t>
      </w:r>
      <w:r>
        <w:rPr>
          <w:rFonts w:ascii="Times New Roman" w:hAnsi="Times New Roman" w:cs="Times New Roman"/>
          <w:sz w:val="22"/>
          <w:szCs w:val="22"/>
        </w:rPr>
        <w:t xml:space="preserve">U.S. Treasury Department </w:t>
      </w:r>
      <w:r w:rsidRPr="00456BA9">
        <w:rPr>
          <w:rFonts w:ascii="Times New Roman" w:hAnsi="Times New Roman" w:cs="Times New Roman"/>
          <w:sz w:val="22"/>
          <w:szCs w:val="22"/>
        </w:rPr>
        <w:t>publication, at pages 8 and 10, describes the differences between treaty reinsurance and facultative</w:t>
      </w:r>
      <w:r>
        <w:rPr>
          <w:rFonts w:ascii="Times New Roman" w:hAnsi="Times New Roman" w:cs="Times New Roman"/>
          <w:sz w:val="22"/>
          <w:szCs w:val="22"/>
        </w:rPr>
        <w:t xml:space="preserve"> reinsurance.</w:t>
      </w:r>
    </w:p>
    <w:p w14:paraId="27FE46AB" w14:textId="77777777" w:rsidR="00FC046A" w:rsidRDefault="00FC046A" w:rsidP="00937470">
      <w:pPr>
        <w:pStyle w:val="EndnoteText"/>
        <w:rPr>
          <w:rFonts w:ascii="Times New Roman" w:hAnsi="Times New Roman" w:cs="Times New Roman"/>
          <w:sz w:val="22"/>
          <w:szCs w:val="22"/>
        </w:rPr>
      </w:pPr>
    </w:p>
    <w:p w14:paraId="6422FCB1" w14:textId="0F1C31F4" w:rsidR="00FC046A" w:rsidRDefault="00FC046A" w:rsidP="00937470">
      <w:pPr>
        <w:pStyle w:val="EndnoteText"/>
        <w:rPr>
          <w:rFonts w:ascii="Times New Roman" w:hAnsi="Times New Roman" w:cs="Times New Roman"/>
          <w:sz w:val="22"/>
          <w:szCs w:val="22"/>
        </w:rPr>
      </w:pPr>
      <w:r w:rsidRPr="00E04AF2">
        <w:rPr>
          <w:rFonts w:ascii="Times New Roman" w:hAnsi="Times New Roman" w:cs="Times New Roman"/>
          <w:sz w:val="22"/>
          <w:szCs w:val="22"/>
        </w:rPr>
        <w:t xml:space="preserve">The Court called the risk assumed by PoolRe and Reserve in connection with the vehicle service contracts “de minimis.”  </w:t>
      </w:r>
      <w:r>
        <w:rPr>
          <w:rFonts w:ascii="Times New Roman" w:hAnsi="Times New Roman" w:cs="Times New Roman"/>
          <w:sz w:val="22"/>
          <w:szCs w:val="22"/>
        </w:rPr>
        <w:t xml:space="preserve">In fact, contrary to the Court’s “analysis,” </w:t>
      </w:r>
      <w:r w:rsidRPr="00E04AF2">
        <w:rPr>
          <w:rFonts w:ascii="Times New Roman" w:hAnsi="Times New Roman" w:cs="Times New Roman"/>
          <w:sz w:val="22"/>
          <w:szCs w:val="22"/>
        </w:rPr>
        <w:t xml:space="preserve">Reserve accepted premiums ($69,500 in 2008, $76,500 in 2009, and $66,000 in 2010) </w:t>
      </w:r>
      <w:r>
        <w:rPr>
          <w:rFonts w:ascii="Times New Roman" w:hAnsi="Times New Roman" w:cs="Times New Roman"/>
          <w:sz w:val="22"/>
          <w:szCs w:val="22"/>
        </w:rPr>
        <w:t xml:space="preserve">that were </w:t>
      </w:r>
      <w:r w:rsidRPr="007A0F56">
        <w:rPr>
          <w:rFonts w:ascii="Times New Roman" w:hAnsi="Times New Roman" w:cs="Times New Roman"/>
          <w:sz w:val="22"/>
          <w:szCs w:val="22"/>
          <w:u w:val="single"/>
        </w:rPr>
        <w:t>material to its revenues in each such year</w:t>
      </w:r>
      <w:r>
        <w:rPr>
          <w:rFonts w:ascii="Times New Roman" w:hAnsi="Times New Roman" w:cs="Times New Roman"/>
          <w:sz w:val="22"/>
          <w:szCs w:val="22"/>
        </w:rPr>
        <w:t xml:space="preserve"> (which ranged from </w:t>
      </w:r>
      <w:r w:rsidRPr="00DE477D">
        <w:rPr>
          <w:rFonts w:ascii="Times New Roman" w:hAnsi="Times New Roman" w:cs="Times New Roman"/>
          <w:sz w:val="22"/>
          <w:szCs w:val="22"/>
        </w:rPr>
        <w:t>$481,792 to $1,006,216</w:t>
      </w:r>
      <w:r>
        <w:rPr>
          <w:rFonts w:ascii="Times New Roman" w:hAnsi="Times New Roman" w:cs="Times New Roman"/>
          <w:sz w:val="22"/>
          <w:szCs w:val="22"/>
        </w:rPr>
        <w:t xml:space="preserve"> over these three years).  The pool was composed of many thousands of diversified, unaffiliated </w:t>
      </w:r>
      <w:r w:rsidRPr="00E04AF2">
        <w:rPr>
          <w:rFonts w:ascii="Times New Roman" w:hAnsi="Times New Roman" w:cs="Times New Roman"/>
          <w:sz w:val="22"/>
          <w:szCs w:val="22"/>
        </w:rPr>
        <w:t>insurance contracts</w:t>
      </w:r>
      <w:r>
        <w:rPr>
          <w:rFonts w:ascii="Times New Roman" w:hAnsi="Times New Roman" w:cs="Times New Roman"/>
          <w:sz w:val="22"/>
          <w:szCs w:val="22"/>
        </w:rPr>
        <w:t xml:space="preserve"> of which Reserve was one of many similar reinsurers. </w:t>
      </w:r>
      <w:r w:rsidRPr="00E04AF2">
        <w:rPr>
          <w:rFonts w:ascii="Times New Roman" w:hAnsi="Times New Roman" w:cs="Times New Roman"/>
          <w:sz w:val="22"/>
          <w:szCs w:val="22"/>
        </w:rPr>
        <w:t>The Court</w:t>
      </w:r>
      <w:r>
        <w:rPr>
          <w:rFonts w:ascii="Times New Roman" w:hAnsi="Times New Roman" w:cs="Times New Roman"/>
          <w:sz w:val="22"/>
          <w:szCs w:val="22"/>
        </w:rPr>
        <w:t>’</w:t>
      </w:r>
      <w:r w:rsidRPr="00E04AF2">
        <w:rPr>
          <w:rFonts w:ascii="Times New Roman" w:hAnsi="Times New Roman" w:cs="Times New Roman"/>
          <w:sz w:val="22"/>
          <w:szCs w:val="22"/>
        </w:rPr>
        <w:t>s criticism of Reserve’s participation in this large blended pool of insurance coverages evidence</w:t>
      </w:r>
      <w:r>
        <w:rPr>
          <w:rFonts w:ascii="Times New Roman" w:hAnsi="Times New Roman" w:cs="Times New Roman"/>
          <w:sz w:val="22"/>
          <w:szCs w:val="22"/>
        </w:rPr>
        <w:t>s</w:t>
      </w:r>
      <w:r w:rsidRPr="00E04AF2">
        <w:rPr>
          <w:rFonts w:ascii="Times New Roman" w:hAnsi="Times New Roman" w:cs="Times New Roman"/>
          <w:sz w:val="22"/>
          <w:szCs w:val="22"/>
        </w:rPr>
        <w:t xml:space="preserve"> its failure to understand the function of an insurance pool and the concept of risk diversification.</w:t>
      </w:r>
    </w:p>
    <w:p w14:paraId="2D44ECD1" w14:textId="77777777" w:rsidR="00FC046A" w:rsidRPr="00901695" w:rsidRDefault="00FC046A" w:rsidP="00937470">
      <w:pPr>
        <w:pStyle w:val="EndnoteText"/>
        <w:rPr>
          <w:rFonts w:ascii="Times New Roman" w:hAnsi="Times New Roman" w:cs="Times New Roman"/>
          <w:sz w:val="22"/>
          <w:szCs w:val="22"/>
        </w:rPr>
      </w:pPr>
    </w:p>
  </w:endnote>
  <w:endnote w:id="127">
    <w:p w14:paraId="53215F3D" w14:textId="728C236E" w:rsidR="00FC046A" w:rsidRPr="005A79A0" w:rsidRDefault="00FC046A">
      <w:pPr>
        <w:pStyle w:val="EndnoteText"/>
        <w:rPr>
          <w:rFonts w:ascii="Times New Roman" w:hAnsi="Times New Roman" w:cs="Times New Roman"/>
          <w:sz w:val="22"/>
          <w:szCs w:val="22"/>
        </w:rPr>
      </w:pPr>
      <w:r w:rsidRPr="005A79A0">
        <w:rPr>
          <w:rStyle w:val="EndnoteReference"/>
          <w:rFonts w:ascii="Times New Roman" w:hAnsi="Times New Roman" w:cs="Times New Roman"/>
          <w:sz w:val="22"/>
          <w:szCs w:val="22"/>
        </w:rPr>
        <w:endnoteRef/>
      </w:r>
      <w:r w:rsidRPr="005A79A0">
        <w:rPr>
          <w:rFonts w:ascii="Times New Roman" w:hAnsi="Times New Roman" w:cs="Times New Roman"/>
          <w:sz w:val="22"/>
          <w:szCs w:val="22"/>
        </w:rPr>
        <w:t xml:space="preserve"> See testimony of Lance McNeel, </w:t>
      </w:r>
      <w:r>
        <w:rPr>
          <w:rFonts w:ascii="Times New Roman" w:hAnsi="Times New Roman" w:cs="Times New Roman"/>
          <w:sz w:val="22"/>
          <w:szCs w:val="22"/>
        </w:rPr>
        <w:t>Tr.</w:t>
      </w:r>
      <w:r w:rsidRPr="005A79A0">
        <w:rPr>
          <w:rFonts w:ascii="Times New Roman" w:hAnsi="Times New Roman" w:cs="Times New Roman"/>
          <w:sz w:val="22"/>
          <w:szCs w:val="22"/>
        </w:rPr>
        <w:t xml:space="preserve"> at 341-342, and Exhibit 109-P (Pricing Indications</w:t>
      </w:r>
      <w:r>
        <w:rPr>
          <w:rFonts w:ascii="Times New Roman" w:hAnsi="Times New Roman" w:cs="Times New Roman"/>
          <w:sz w:val="22"/>
          <w:szCs w:val="22"/>
        </w:rPr>
        <w:t xml:space="preserve">, </w:t>
      </w:r>
      <w:r w:rsidRPr="005A79A0">
        <w:rPr>
          <w:rFonts w:ascii="Times New Roman" w:hAnsi="Times New Roman" w:cs="Times New Roman"/>
          <w:sz w:val="22"/>
          <w:szCs w:val="22"/>
        </w:rPr>
        <w:t xml:space="preserve">for policy periods ending </w:t>
      </w:r>
      <w:r>
        <w:rPr>
          <w:rFonts w:ascii="Times New Roman" w:hAnsi="Times New Roman" w:cs="Times New Roman"/>
          <w:sz w:val="22"/>
          <w:szCs w:val="22"/>
        </w:rPr>
        <w:t xml:space="preserve">December 31, 2008-2010, </w:t>
      </w:r>
      <w:r w:rsidRPr="005A79A0">
        <w:rPr>
          <w:rFonts w:ascii="Times New Roman" w:hAnsi="Times New Roman" w:cs="Times New Roman"/>
          <w:sz w:val="22"/>
          <w:szCs w:val="22"/>
        </w:rPr>
        <w:t xml:space="preserve"> prepared for Reserve Casualty Corporation by Mid-Continent General Agency, Inc., Underwriters at Lloyds of London).</w:t>
      </w:r>
    </w:p>
    <w:p w14:paraId="7E591770" w14:textId="77777777" w:rsidR="00FC046A" w:rsidRPr="005A79A0" w:rsidRDefault="00FC046A">
      <w:pPr>
        <w:pStyle w:val="EndnoteText"/>
        <w:rPr>
          <w:rFonts w:ascii="Times New Roman" w:hAnsi="Times New Roman" w:cs="Times New Roman"/>
          <w:sz w:val="22"/>
          <w:szCs w:val="22"/>
        </w:rPr>
      </w:pPr>
    </w:p>
  </w:endnote>
  <w:endnote w:id="128">
    <w:p w14:paraId="483DD196" w14:textId="54EAC837" w:rsidR="00FC046A" w:rsidRPr="001C0E5F" w:rsidRDefault="00FC046A" w:rsidP="00937470">
      <w:pPr>
        <w:pStyle w:val="EndnoteText"/>
        <w:rPr>
          <w:rFonts w:ascii="Times New Roman" w:hAnsi="Times New Roman" w:cs="Times New Roman"/>
          <w:sz w:val="22"/>
          <w:szCs w:val="22"/>
        </w:rPr>
      </w:pPr>
      <w:r w:rsidRPr="00FC21B0">
        <w:rPr>
          <w:rStyle w:val="EndnoteReference"/>
          <w:rFonts w:ascii="Times New Roman" w:hAnsi="Times New Roman" w:cs="Times New Roman"/>
          <w:sz w:val="22"/>
          <w:szCs w:val="22"/>
        </w:rPr>
        <w:endnoteRef/>
      </w:r>
      <w:r w:rsidRPr="00FC21B0">
        <w:rPr>
          <w:rFonts w:ascii="Times New Roman" w:hAnsi="Times New Roman" w:cs="Times New Roman"/>
          <w:sz w:val="22"/>
          <w:szCs w:val="22"/>
        </w:rPr>
        <w:t xml:space="preserve"> </w:t>
      </w:r>
      <w:r w:rsidRPr="00744AEC">
        <w:rPr>
          <w:rFonts w:ascii="Times New Roman" w:hAnsi="Times New Roman" w:cs="Times New Roman"/>
          <w:sz w:val="22"/>
          <w:szCs w:val="22"/>
        </w:rPr>
        <w:t xml:space="preserve"> </w:t>
      </w:r>
      <w:r>
        <w:rPr>
          <w:rFonts w:ascii="Times New Roman" w:hAnsi="Times New Roman" w:cs="Times New Roman"/>
          <w:sz w:val="22"/>
          <w:szCs w:val="22"/>
        </w:rPr>
        <w:t>See Opinion at 61: “</w:t>
      </w:r>
      <w:r w:rsidRPr="00744AEC">
        <w:rPr>
          <w:rFonts w:ascii="Times New Roman" w:hAnsi="Times New Roman" w:cs="Times New Roman"/>
          <w:sz w:val="22"/>
          <w:szCs w:val="22"/>
        </w:rPr>
        <w:t>With respect to premiums, the facts and circumstances of this case demonstrate that the direct written policies were not the result of arm</w:t>
      </w:r>
      <w:r>
        <w:rPr>
          <w:rFonts w:ascii="Times New Roman" w:hAnsi="Times New Roman" w:cs="Times New Roman"/>
          <w:sz w:val="22"/>
          <w:szCs w:val="22"/>
        </w:rPr>
        <w:t>’</w:t>
      </w:r>
      <w:r w:rsidRPr="00744AEC">
        <w:rPr>
          <w:rFonts w:ascii="Times New Roman" w:hAnsi="Times New Roman" w:cs="Times New Roman"/>
          <w:sz w:val="22"/>
          <w:szCs w:val="22"/>
        </w:rPr>
        <w:t xml:space="preserve">s-length negotiations. Taking into consideration all the surrounding facts and circumstances, we conclude that no unrelated party would reasonably agree to pay Reserve the premiums that Peak and the other insureds did for the coverage provided by the direct written policies. Although Capstone </w:t>
      </w:r>
      <w:r w:rsidRPr="00742D97">
        <w:rPr>
          <w:rFonts w:ascii="Times New Roman" w:hAnsi="Times New Roman" w:cs="Times New Roman"/>
          <w:b/>
          <w:i/>
          <w:sz w:val="22"/>
          <w:szCs w:val="22"/>
        </w:rPr>
        <w:t>calculated Reserve’s premiums using objective criteria and what appear to be actuarial methods</w:t>
      </w:r>
      <w:r w:rsidRPr="00744AEC">
        <w:rPr>
          <w:rFonts w:ascii="Times New Roman" w:hAnsi="Times New Roman" w:cs="Times New Roman"/>
          <w:sz w:val="22"/>
          <w:szCs w:val="22"/>
        </w:rPr>
        <w:t xml:space="preserve">, the absence of a real business </w:t>
      </w:r>
      <w:r w:rsidRPr="001C0E5F">
        <w:rPr>
          <w:rFonts w:ascii="Times New Roman" w:hAnsi="Times New Roman" w:cs="Times New Roman"/>
          <w:sz w:val="22"/>
          <w:szCs w:val="22"/>
        </w:rPr>
        <w:t xml:space="preserve">purpose for Reserve’s policies </w:t>
      </w:r>
      <w:r w:rsidRPr="00DB26D3">
        <w:rPr>
          <w:rFonts w:ascii="Times New Roman" w:hAnsi="Times New Roman" w:cs="Times New Roman"/>
          <w:sz w:val="22"/>
          <w:szCs w:val="22"/>
        </w:rPr>
        <w:t xml:space="preserve">leads us to conclude that the premiums paid for the polices were not reasonable and not negotiated at arm’s length.” </w:t>
      </w:r>
      <w:r>
        <w:rPr>
          <w:rFonts w:ascii="Times New Roman" w:hAnsi="Times New Roman" w:cs="Times New Roman"/>
          <w:sz w:val="22"/>
          <w:szCs w:val="22"/>
        </w:rPr>
        <w:t>(Emphasis added).</w:t>
      </w:r>
      <w:r w:rsidRPr="00DB26D3">
        <w:rPr>
          <w:rFonts w:ascii="Times New Roman" w:hAnsi="Times New Roman" w:cs="Times New Roman"/>
          <w:sz w:val="22"/>
          <w:szCs w:val="22"/>
        </w:rPr>
        <w:t xml:space="preserve"> The Court did not cite to any authority </w:t>
      </w:r>
      <w:r>
        <w:rPr>
          <w:rFonts w:ascii="Times New Roman" w:hAnsi="Times New Roman" w:cs="Times New Roman"/>
          <w:sz w:val="22"/>
          <w:szCs w:val="22"/>
        </w:rPr>
        <w:t xml:space="preserve">or to the record for </w:t>
      </w:r>
      <w:r w:rsidRPr="00DB26D3">
        <w:rPr>
          <w:rFonts w:ascii="Times New Roman" w:hAnsi="Times New Roman" w:cs="Times New Roman"/>
          <w:sz w:val="22"/>
          <w:szCs w:val="22"/>
        </w:rPr>
        <w:t>th</w:t>
      </w:r>
      <w:r>
        <w:rPr>
          <w:rFonts w:ascii="Times New Roman" w:hAnsi="Times New Roman" w:cs="Times New Roman"/>
          <w:sz w:val="22"/>
          <w:szCs w:val="22"/>
        </w:rPr>
        <w:t>e</w:t>
      </w:r>
      <w:r w:rsidRPr="00DB26D3">
        <w:rPr>
          <w:rFonts w:ascii="Times New Roman" w:hAnsi="Times New Roman" w:cs="Times New Roman"/>
          <w:sz w:val="22"/>
          <w:szCs w:val="22"/>
        </w:rPr>
        <w:t xml:space="preserve">se statements.  </w:t>
      </w:r>
      <w:r>
        <w:rPr>
          <w:rFonts w:ascii="Times New Roman" w:hAnsi="Times New Roman" w:cs="Times New Roman"/>
          <w:sz w:val="22"/>
          <w:szCs w:val="22"/>
        </w:rPr>
        <w:t>N</w:t>
      </w:r>
      <w:r w:rsidRPr="00DB26D3">
        <w:rPr>
          <w:rFonts w:ascii="Times New Roman" w:hAnsi="Times New Roman" w:cs="Times New Roman"/>
          <w:sz w:val="22"/>
          <w:szCs w:val="22"/>
        </w:rPr>
        <w:t>egotiat</w:t>
      </w:r>
      <w:r>
        <w:rPr>
          <w:rFonts w:ascii="Times New Roman" w:hAnsi="Times New Roman" w:cs="Times New Roman"/>
          <w:sz w:val="22"/>
          <w:szCs w:val="22"/>
        </w:rPr>
        <w:t>ing</w:t>
      </w:r>
      <w:r w:rsidRPr="00DB26D3">
        <w:rPr>
          <w:rFonts w:ascii="Times New Roman" w:hAnsi="Times New Roman" w:cs="Times New Roman"/>
          <w:sz w:val="22"/>
          <w:szCs w:val="22"/>
        </w:rPr>
        <w:t xml:space="preserve"> premiums</w:t>
      </w:r>
      <w:r>
        <w:rPr>
          <w:rFonts w:ascii="Times New Roman" w:hAnsi="Times New Roman" w:cs="Times New Roman"/>
          <w:sz w:val="22"/>
          <w:szCs w:val="22"/>
        </w:rPr>
        <w:t xml:space="preserve"> at arm’s-length</w:t>
      </w:r>
      <w:r w:rsidRPr="00DB26D3">
        <w:rPr>
          <w:rFonts w:ascii="Times New Roman" w:hAnsi="Times New Roman" w:cs="Times New Roman"/>
          <w:sz w:val="22"/>
          <w:szCs w:val="22"/>
        </w:rPr>
        <w:t xml:space="preserve"> has never been a requirement of an insurance arrangement, especially so  where the Court acknowledged that the premiums were appropriately priced despite there being an affiliated relationship between Reserve and its insureds.</w:t>
      </w:r>
    </w:p>
    <w:p w14:paraId="528F11E9" w14:textId="77777777" w:rsidR="00FC046A" w:rsidRPr="001C0E5F" w:rsidRDefault="00FC046A" w:rsidP="00937470">
      <w:pPr>
        <w:pStyle w:val="EndnoteText"/>
        <w:rPr>
          <w:rFonts w:ascii="Times New Roman" w:hAnsi="Times New Roman" w:cs="Times New Roman"/>
          <w:sz w:val="22"/>
          <w:szCs w:val="22"/>
        </w:rPr>
      </w:pPr>
    </w:p>
  </w:endnote>
  <w:endnote w:id="129">
    <w:p w14:paraId="3A98BF6D" w14:textId="4EABBC89" w:rsidR="00FC046A" w:rsidRPr="001C0E5F" w:rsidRDefault="00FC046A" w:rsidP="001C0E5F">
      <w:pPr>
        <w:pStyle w:val="EndnoteText"/>
        <w:rPr>
          <w:rFonts w:ascii="Times New Roman" w:hAnsi="Times New Roman" w:cs="Times New Roman"/>
          <w:sz w:val="22"/>
          <w:szCs w:val="22"/>
        </w:rPr>
      </w:pPr>
      <w:r w:rsidRPr="001C0E5F">
        <w:rPr>
          <w:rStyle w:val="EndnoteReference"/>
          <w:rFonts w:ascii="Times New Roman" w:hAnsi="Times New Roman" w:cs="Times New Roman"/>
          <w:sz w:val="22"/>
          <w:szCs w:val="22"/>
        </w:rPr>
        <w:endnoteRef/>
      </w:r>
      <w:r w:rsidRPr="001C0E5F">
        <w:rPr>
          <w:rFonts w:ascii="Times New Roman" w:hAnsi="Times New Roman" w:cs="Times New Roman"/>
          <w:sz w:val="22"/>
          <w:szCs w:val="22"/>
        </w:rPr>
        <w:t xml:space="preserve"> </w:t>
      </w:r>
      <w:r>
        <w:rPr>
          <w:rFonts w:ascii="Times New Roman" w:hAnsi="Times New Roman" w:cs="Times New Roman"/>
          <w:sz w:val="22"/>
          <w:szCs w:val="22"/>
        </w:rPr>
        <w:t xml:space="preserve">See Opinion at 61. </w:t>
      </w:r>
    </w:p>
    <w:p w14:paraId="38C517D3" w14:textId="77777777" w:rsidR="00FC046A" w:rsidRPr="001C0E5F" w:rsidRDefault="00FC046A">
      <w:pPr>
        <w:pStyle w:val="EndnoteText"/>
        <w:rPr>
          <w:rFonts w:ascii="Times New Roman" w:hAnsi="Times New Roman" w:cs="Times New Roman"/>
          <w:sz w:val="22"/>
          <w:szCs w:val="22"/>
        </w:rPr>
      </w:pPr>
    </w:p>
  </w:endnote>
  <w:endnote w:id="130">
    <w:p w14:paraId="78957E10" w14:textId="491BACA0" w:rsidR="00FC046A" w:rsidRPr="00A15D3F" w:rsidRDefault="00FC046A" w:rsidP="00B47808">
      <w:pPr>
        <w:pStyle w:val="EndnoteText"/>
        <w:rPr>
          <w:rFonts w:ascii="Times New Roman" w:hAnsi="Times New Roman" w:cs="Times New Roman"/>
          <w:sz w:val="22"/>
          <w:szCs w:val="22"/>
        </w:rPr>
      </w:pPr>
      <w:r w:rsidRPr="00347F74">
        <w:rPr>
          <w:rStyle w:val="EndnoteReference"/>
          <w:rFonts w:ascii="Times New Roman" w:hAnsi="Times New Roman" w:cs="Times New Roman"/>
          <w:sz w:val="22"/>
          <w:szCs w:val="22"/>
        </w:rPr>
        <w:endnoteRef/>
      </w:r>
      <w:r w:rsidRPr="00347F74">
        <w:rPr>
          <w:rFonts w:ascii="Times New Roman" w:hAnsi="Times New Roman" w:cs="Times New Roman"/>
          <w:sz w:val="22"/>
          <w:szCs w:val="22"/>
        </w:rPr>
        <w:t xml:space="preserve"> </w:t>
      </w:r>
      <w:r w:rsidRPr="00FB35F2">
        <w:rPr>
          <w:rFonts w:ascii="Times New Roman" w:hAnsi="Times New Roman" w:cs="Times New Roman"/>
          <w:sz w:val="22"/>
          <w:szCs w:val="22"/>
        </w:rPr>
        <w:t xml:space="preserve">See </w:t>
      </w:r>
      <w:r>
        <w:rPr>
          <w:rFonts w:ascii="Times New Roman" w:hAnsi="Times New Roman" w:cs="Times New Roman"/>
          <w:sz w:val="22"/>
          <w:szCs w:val="22"/>
        </w:rPr>
        <w:t xml:space="preserve">note 48, supra.  See also </w:t>
      </w:r>
      <w:r w:rsidRPr="00FB35F2">
        <w:rPr>
          <w:rFonts w:ascii="Times New Roman" w:hAnsi="Times New Roman" w:cs="Times New Roman"/>
          <w:sz w:val="22"/>
          <w:szCs w:val="22"/>
        </w:rPr>
        <w:t xml:space="preserve">Cohen, </w:t>
      </w:r>
      <w:r w:rsidRPr="00E829C2">
        <w:rPr>
          <w:rStyle w:val="italic"/>
          <w:rFonts w:ascii="Times New Roman" w:hAnsi="Times New Roman" w:cs="Times New Roman"/>
          <w:i/>
          <w:sz w:val="22"/>
          <w:szCs w:val="22"/>
        </w:rPr>
        <w:t>How to Read Tax Court Opinions</w:t>
      </w:r>
      <w:r w:rsidRPr="00FB35F2">
        <w:rPr>
          <w:rFonts w:ascii="Times New Roman" w:hAnsi="Times New Roman" w:cs="Times New Roman"/>
          <w:sz w:val="22"/>
          <w:szCs w:val="22"/>
        </w:rPr>
        <w:t>, 1 Hous. Bus. &amp; Tax L. J. 1, 6 (2001)</w:t>
      </w:r>
      <w:r>
        <w:rPr>
          <w:rFonts w:ascii="Times New Roman" w:hAnsi="Times New Roman" w:cs="Times New Roman"/>
          <w:sz w:val="22"/>
          <w:szCs w:val="22"/>
        </w:rPr>
        <w:t>.  Cohen explains that tax court o</w:t>
      </w:r>
      <w:r w:rsidRPr="00E829C2">
        <w:rPr>
          <w:rFonts w:ascii="Times New Roman" w:hAnsi="Times New Roman" w:cs="Times New Roman"/>
          <w:sz w:val="22"/>
          <w:szCs w:val="22"/>
        </w:rPr>
        <w:t>pinion</w:t>
      </w:r>
      <w:r>
        <w:rPr>
          <w:rFonts w:ascii="Times New Roman" w:hAnsi="Times New Roman" w:cs="Times New Roman"/>
          <w:sz w:val="22"/>
          <w:szCs w:val="22"/>
        </w:rPr>
        <w:t>s are</w:t>
      </w:r>
      <w:r w:rsidRPr="00E829C2">
        <w:rPr>
          <w:rFonts w:ascii="Times New Roman" w:hAnsi="Times New Roman" w:cs="Times New Roman"/>
          <w:sz w:val="22"/>
          <w:szCs w:val="22"/>
        </w:rPr>
        <w:t xml:space="preserve"> usually issued as </w:t>
      </w:r>
      <w:r>
        <w:rPr>
          <w:rFonts w:ascii="Times New Roman" w:hAnsi="Times New Roman" w:cs="Times New Roman"/>
          <w:sz w:val="22"/>
          <w:szCs w:val="22"/>
        </w:rPr>
        <w:t>m</w:t>
      </w:r>
      <w:r w:rsidRPr="00E829C2">
        <w:rPr>
          <w:rFonts w:ascii="Times New Roman" w:hAnsi="Times New Roman" w:cs="Times New Roman"/>
          <w:sz w:val="22"/>
          <w:szCs w:val="22"/>
        </w:rPr>
        <w:t>emoranda decision</w:t>
      </w:r>
      <w:r>
        <w:rPr>
          <w:rFonts w:ascii="Times New Roman" w:hAnsi="Times New Roman" w:cs="Times New Roman"/>
          <w:sz w:val="22"/>
          <w:szCs w:val="22"/>
        </w:rPr>
        <w:t xml:space="preserve">s “if they </w:t>
      </w:r>
      <w:r w:rsidRPr="00E829C2">
        <w:rPr>
          <w:rFonts w:ascii="Times New Roman" w:hAnsi="Times New Roman" w:cs="Times New Roman"/>
          <w:sz w:val="22"/>
          <w:szCs w:val="22"/>
        </w:rPr>
        <w:t>involve application of familiar legal principles to routine factual situations, nonrecurring or enormously complicated factual situations from which guidance and precedent are too difficult to distill, obsolete statutes or regulations, straightforward factual determinations, or arguments patently lacking in merit.</w:t>
      </w:r>
      <w:r>
        <w:rPr>
          <w:rFonts w:ascii="Times New Roman" w:hAnsi="Times New Roman" w:cs="Times New Roman"/>
          <w:sz w:val="22"/>
          <w:szCs w:val="22"/>
        </w:rPr>
        <w:t>”</w:t>
      </w:r>
    </w:p>
    <w:p w14:paraId="1A1218D6" w14:textId="77777777" w:rsidR="00FC046A" w:rsidRDefault="00FC046A">
      <w:pPr>
        <w:pStyle w:val="EndnoteText"/>
      </w:pPr>
    </w:p>
  </w:endnote>
  <w:endnote w:id="131">
    <w:p w14:paraId="434F884F" w14:textId="5CF42AF8" w:rsidR="00FC046A" w:rsidRPr="004E4931" w:rsidRDefault="00FC046A">
      <w:pPr>
        <w:pStyle w:val="EndnoteText"/>
        <w:rPr>
          <w:rFonts w:ascii="Times New Roman" w:hAnsi="Times New Roman" w:cs="Times New Roman"/>
          <w:sz w:val="22"/>
          <w:szCs w:val="22"/>
        </w:rPr>
      </w:pPr>
      <w:r w:rsidRPr="004E4931">
        <w:rPr>
          <w:rStyle w:val="EndnoteReference"/>
          <w:rFonts w:ascii="Times New Roman" w:hAnsi="Times New Roman" w:cs="Times New Roman"/>
          <w:sz w:val="22"/>
          <w:szCs w:val="22"/>
        </w:rPr>
        <w:endnoteRef/>
      </w:r>
      <w:r>
        <w:rPr>
          <w:rFonts w:ascii="Times New Roman" w:hAnsi="Times New Roman" w:cs="Times New Roman"/>
          <w:sz w:val="22"/>
          <w:szCs w:val="22"/>
        </w:rPr>
        <w:t xml:space="preserve"> See </w:t>
      </w:r>
      <w:r w:rsidRPr="004E4931">
        <w:rPr>
          <w:rFonts w:ascii="Times New Roman" w:hAnsi="Times New Roman" w:cs="Times New Roman"/>
          <w:sz w:val="22"/>
          <w:szCs w:val="22"/>
        </w:rPr>
        <w:t>Opinion</w:t>
      </w:r>
      <w:r>
        <w:rPr>
          <w:rFonts w:ascii="Times New Roman" w:hAnsi="Times New Roman" w:cs="Times New Roman"/>
          <w:sz w:val="22"/>
          <w:szCs w:val="22"/>
        </w:rPr>
        <w:t xml:space="preserve"> at 61: </w:t>
      </w:r>
      <w:r w:rsidRPr="004E4931">
        <w:rPr>
          <w:rFonts w:ascii="Times New Roman" w:hAnsi="Times New Roman" w:cs="Times New Roman"/>
          <w:sz w:val="22"/>
          <w:szCs w:val="22"/>
        </w:rPr>
        <w:t>“Although Capstone calculated Reserve</w:t>
      </w:r>
      <w:r>
        <w:rPr>
          <w:rFonts w:ascii="Times New Roman" w:hAnsi="Times New Roman" w:cs="Times New Roman"/>
          <w:sz w:val="22"/>
          <w:szCs w:val="22"/>
        </w:rPr>
        <w:t>’</w:t>
      </w:r>
      <w:r w:rsidRPr="004E4931">
        <w:rPr>
          <w:rFonts w:ascii="Times New Roman" w:hAnsi="Times New Roman" w:cs="Times New Roman"/>
          <w:sz w:val="22"/>
          <w:szCs w:val="22"/>
        </w:rPr>
        <w:t>s premiums using objective criteria and what appear to be actuarial methods, the absence of a real business purpose for Reserve</w:t>
      </w:r>
      <w:r>
        <w:rPr>
          <w:rFonts w:ascii="Times New Roman" w:hAnsi="Times New Roman" w:cs="Times New Roman"/>
          <w:sz w:val="22"/>
          <w:szCs w:val="22"/>
        </w:rPr>
        <w:t>’</w:t>
      </w:r>
      <w:r w:rsidRPr="004E4931">
        <w:rPr>
          <w:rFonts w:ascii="Times New Roman" w:hAnsi="Times New Roman" w:cs="Times New Roman"/>
          <w:sz w:val="22"/>
          <w:szCs w:val="22"/>
        </w:rPr>
        <w:t>s policies leads us to conclude that the premiums paid for the polices were not reasonable and not negotiated at arm</w:t>
      </w:r>
      <w:r>
        <w:rPr>
          <w:rFonts w:ascii="Times New Roman" w:hAnsi="Times New Roman" w:cs="Times New Roman"/>
          <w:sz w:val="22"/>
          <w:szCs w:val="22"/>
        </w:rPr>
        <w:t>’</w:t>
      </w:r>
      <w:r w:rsidRPr="004E4931">
        <w:rPr>
          <w:rFonts w:ascii="Times New Roman" w:hAnsi="Times New Roman" w:cs="Times New Roman"/>
          <w:sz w:val="22"/>
          <w:szCs w:val="22"/>
        </w:rPr>
        <w:t>s length.”</w:t>
      </w:r>
      <w:r>
        <w:rPr>
          <w:rFonts w:ascii="Times New Roman" w:hAnsi="Times New Roman" w:cs="Times New Roman"/>
          <w:sz w:val="22"/>
          <w:szCs w:val="22"/>
        </w:rPr>
        <w:t xml:space="preserve">  At 62 of the Opinion, the Court concluded that “</w:t>
      </w:r>
      <w:r w:rsidRPr="00337E22">
        <w:rPr>
          <w:rFonts w:ascii="Times New Roman" w:hAnsi="Times New Roman" w:cs="Times New Roman"/>
          <w:sz w:val="22"/>
          <w:szCs w:val="22"/>
        </w:rPr>
        <w:t>there was no legitimate business purpose for the policies that Reserve issued for the insureds.</w:t>
      </w:r>
      <w:r>
        <w:rPr>
          <w:rFonts w:ascii="Times New Roman" w:hAnsi="Times New Roman" w:cs="Times New Roman"/>
          <w:sz w:val="22"/>
          <w:szCs w:val="22"/>
        </w:rPr>
        <w:t xml:space="preserve">” </w:t>
      </w:r>
    </w:p>
    <w:p w14:paraId="5D2D0BE0" w14:textId="77777777" w:rsidR="00FC046A" w:rsidRPr="005A3199" w:rsidRDefault="00FC046A">
      <w:pPr>
        <w:pStyle w:val="EndnoteText"/>
        <w:rPr>
          <w:rFonts w:ascii="Times New Roman" w:hAnsi="Times New Roman" w:cs="Times New Roman"/>
          <w:sz w:val="22"/>
          <w:szCs w:val="22"/>
        </w:rPr>
      </w:pPr>
    </w:p>
  </w:endnote>
  <w:endnote w:id="132">
    <w:p w14:paraId="5E8DD7FD" w14:textId="6255527A" w:rsidR="00FC046A" w:rsidRPr="005A3199" w:rsidRDefault="00FC046A">
      <w:pPr>
        <w:pStyle w:val="EndnoteText"/>
        <w:rPr>
          <w:rFonts w:ascii="Times New Roman" w:hAnsi="Times New Roman" w:cs="Times New Roman"/>
          <w:sz w:val="22"/>
          <w:szCs w:val="22"/>
        </w:rPr>
      </w:pPr>
      <w:r w:rsidRPr="005A3199">
        <w:rPr>
          <w:rStyle w:val="EndnoteReference"/>
          <w:rFonts w:ascii="Times New Roman" w:hAnsi="Times New Roman" w:cs="Times New Roman"/>
          <w:sz w:val="22"/>
          <w:szCs w:val="22"/>
        </w:rPr>
        <w:endnoteRef/>
      </w:r>
      <w:r w:rsidRPr="005A3199">
        <w:rPr>
          <w:rFonts w:ascii="Times New Roman" w:hAnsi="Times New Roman" w:cs="Times New Roman"/>
          <w:sz w:val="22"/>
          <w:szCs w:val="22"/>
        </w:rPr>
        <w:t xml:space="preserve"> </w:t>
      </w:r>
      <w:r w:rsidRPr="00193D51">
        <w:rPr>
          <w:rFonts w:ascii="Times New Roman" w:hAnsi="Times New Roman" w:cs="Times New Roman"/>
          <w:sz w:val="22"/>
          <w:szCs w:val="22"/>
        </w:rPr>
        <w:t>See testimony of Norman Zumbaum, at 109-110</w:t>
      </w:r>
      <w:r>
        <w:rPr>
          <w:rFonts w:ascii="Times New Roman" w:hAnsi="Times New Roman" w:cs="Times New Roman"/>
          <w:sz w:val="22"/>
          <w:szCs w:val="22"/>
        </w:rPr>
        <w:t xml:space="preserve"> and 118-119</w:t>
      </w:r>
      <w:r w:rsidRPr="00193D51">
        <w:rPr>
          <w:rFonts w:ascii="Times New Roman" w:hAnsi="Times New Roman" w:cs="Times New Roman"/>
          <w:sz w:val="22"/>
          <w:szCs w:val="22"/>
        </w:rPr>
        <w:t>.</w:t>
      </w:r>
    </w:p>
    <w:p w14:paraId="2BBB4E6B" w14:textId="77777777" w:rsidR="00FC046A" w:rsidRPr="00B75D6F" w:rsidRDefault="00FC046A">
      <w:pPr>
        <w:pStyle w:val="EndnoteText"/>
        <w:rPr>
          <w:rFonts w:ascii="Times New Roman" w:hAnsi="Times New Roman" w:cs="Times New Roman"/>
          <w:sz w:val="22"/>
          <w:szCs w:val="22"/>
        </w:rPr>
      </w:pPr>
    </w:p>
  </w:endnote>
  <w:endnote w:id="133">
    <w:p w14:paraId="07CEDB73" w14:textId="7F05E22A" w:rsidR="00FC046A" w:rsidRPr="0098069F" w:rsidRDefault="00FC046A">
      <w:pPr>
        <w:pStyle w:val="EndnoteText"/>
        <w:rPr>
          <w:rFonts w:ascii="Times New Roman" w:hAnsi="Times New Roman" w:cs="Times New Roman"/>
          <w:sz w:val="22"/>
          <w:szCs w:val="22"/>
        </w:rPr>
      </w:pPr>
      <w:r w:rsidRPr="0098069F">
        <w:rPr>
          <w:rStyle w:val="EndnoteReference"/>
          <w:rFonts w:ascii="Times New Roman" w:hAnsi="Times New Roman" w:cs="Times New Roman"/>
          <w:sz w:val="22"/>
          <w:szCs w:val="22"/>
        </w:rPr>
        <w:endnoteRef/>
      </w:r>
      <w:r w:rsidRPr="0098069F">
        <w:rPr>
          <w:rFonts w:ascii="Times New Roman" w:hAnsi="Times New Roman" w:cs="Times New Roman"/>
          <w:sz w:val="22"/>
          <w:szCs w:val="22"/>
        </w:rPr>
        <w:t xml:space="preserve"> </w:t>
      </w:r>
      <w:r w:rsidRPr="007F5FA8">
        <w:rPr>
          <w:rFonts w:ascii="Times New Roman" w:hAnsi="Times New Roman" w:cs="Times New Roman"/>
          <w:sz w:val="22"/>
          <w:szCs w:val="22"/>
        </w:rPr>
        <w:t xml:space="preserve">See testimony of </w:t>
      </w:r>
      <w:r>
        <w:rPr>
          <w:rFonts w:ascii="Times New Roman" w:hAnsi="Times New Roman" w:cs="Times New Roman"/>
          <w:sz w:val="22"/>
          <w:szCs w:val="22"/>
        </w:rPr>
        <w:t>Stewart Feldman</w:t>
      </w:r>
      <w:r w:rsidRPr="007F5FA8">
        <w:rPr>
          <w:rFonts w:ascii="Times New Roman" w:hAnsi="Times New Roman" w:cs="Times New Roman"/>
          <w:sz w:val="22"/>
          <w:szCs w:val="22"/>
        </w:rPr>
        <w:t xml:space="preserve">, </w:t>
      </w:r>
      <w:r>
        <w:rPr>
          <w:rFonts w:ascii="Times New Roman" w:hAnsi="Times New Roman" w:cs="Times New Roman"/>
          <w:sz w:val="22"/>
          <w:szCs w:val="22"/>
        </w:rPr>
        <w:t>Tr.</w:t>
      </w:r>
      <w:r w:rsidRPr="007F5FA8">
        <w:rPr>
          <w:rFonts w:ascii="Times New Roman" w:hAnsi="Times New Roman" w:cs="Times New Roman"/>
          <w:sz w:val="22"/>
          <w:szCs w:val="22"/>
        </w:rPr>
        <w:t xml:space="preserve"> at </w:t>
      </w:r>
      <w:r>
        <w:rPr>
          <w:rFonts w:ascii="Times New Roman" w:hAnsi="Times New Roman" w:cs="Times New Roman"/>
          <w:sz w:val="22"/>
          <w:szCs w:val="22"/>
        </w:rPr>
        <w:t>708, 739</w:t>
      </w:r>
      <w:r w:rsidRPr="007F5FA8">
        <w:rPr>
          <w:rFonts w:ascii="Times New Roman" w:hAnsi="Times New Roman" w:cs="Times New Roman"/>
          <w:sz w:val="22"/>
          <w:szCs w:val="22"/>
        </w:rPr>
        <w:t>.</w:t>
      </w:r>
    </w:p>
    <w:p w14:paraId="5FA769D1" w14:textId="77777777" w:rsidR="00FC046A" w:rsidRPr="0098069F" w:rsidRDefault="00FC046A">
      <w:pPr>
        <w:pStyle w:val="EndnoteText"/>
        <w:rPr>
          <w:rFonts w:ascii="Times New Roman" w:hAnsi="Times New Roman" w:cs="Times New Roman"/>
          <w:sz w:val="22"/>
          <w:szCs w:val="22"/>
        </w:rPr>
      </w:pPr>
    </w:p>
  </w:endnote>
  <w:endnote w:id="134">
    <w:p w14:paraId="242D6DAA" w14:textId="7913515F" w:rsidR="00FC046A" w:rsidRPr="006B327D" w:rsidRDefault="00FC046A" w:rsidP="005D45A4">
      <w:pPr>
        <w:pStyle w:val="EndnoteText"/>
        <w:rPr>
          <w:rFonts w:ascii="Times New Roman" w:hAnsi="Times New Roman" w:cs="Times New Roman"/>
          <w:sz w:val="22"/>
          <w:szCs w:val="22"/>
        </w:rPr>
      </w:pPr>
      <w:r w:rsidRPr="006B327D">
        <w:rPr>
          <w:rStyle w:val="EndnoteReference"/>
          <w:rFonts w:ascii="Times New Roman" w:hAnsi="Times New Roman" w:cs="Times New Roman"/>
          <w:sz w:val="22"/>
          <w:szCs w:val="22"/>
        </w:rPr>
        <w:endnoteRef/>
      </w:r>
      <w:r w:rsidRPr="006B327D">
        <w:rPr>
          <w:rFonts w:ascii="Times New Roman" w:hAnsi="Times New Roman" w:cs="Times New Roman"/>
          <w:sz w:val="22"/>
          <w:szCs w:val="22"/>
        </w:rPr>
        <w:t xml:space="preserve"> See </w:t>
      </w:r>
      <w:r>
        <w:rPr>
          <w:rFonts w:ascii="Times New Roman" w:hAnsi="Times New Roman" w:cs="Times New Roman"/>
          <w:sz w:val="22"/>
          <w:szCs w:val="22"/>
        </w:rPr>
        <w:t xml:space="preserve">Opinion at </w:t>
      </w:r>
      <w:r w:rsidRPr="006B327D">
        <w:rPr>
          <w:rFonts w:ascii="Times New Roman" w:hAnsi="Times New Roman" w:cs="Times New Roman"/>
          <w:sz w:val="22"/>
          <w:szCs w:val="22"/>
        </w:rPr>
        <w:t>60</w:t>
      </w:r>
      <w:r>
        <w:rPr>
          <w:rFonts w:ascii="Times New Roman" w:hAnsi="Times New Roman" w:cs="Times New Roman"/>
          <w:sz w:val="22"/>
          <w:szCs w:val="22"/>
        </w:rPr>
        <w:t>: “</w:t>
      </w:r>
      <w:r w:rsidRPr="005D45A4">
        <w:rPr>
          <w:rFonts w:ascii="Times New Roman" w:hAnsi="Times New Roman" w:cs="Times New Roman"/>
          <w:sz w:val="22"/>
          <w:szCs w:val="22"/>
        </w:rPr>
        <w:t>The facts do not reflect that Peak had a genuine need for acquiring</w:t>
      </w:r>
      <w:r>
        <w:rPr>
          <w:rFonts w:ascii="Times New Roman" w:hAnsi="Times New Roman" w:cs="Times New Roman"/>
          <w:sz w:val="22"/>
          <w:szCs w:val="22"/>
        </w:rPr>
        <w:t xml:space="preserve"> </w:t>
      </w:r>
      <w:r w:rsidRPr="005D45A4">
        <w:rPr>
          <w:rFonts w:ascii="Times New Roman" w:hAnsi="Times New Roman" w:cs="Times New Roman"/>
          <w:sz w:val="22"/>
          <w:szCs w:val="22"/>
        </w:rPr>
        <w:t>additional insurance during the tax years in issue.</w:t>
      </w:r>
      <w:r>
        <w:rPr>
          <w:rFonts w:ascii="Times New Roman" w:hAnsi="Times New Roman" w:cs="Times New Roman"/>
          <w:sz w:val="22"/>
          <w:szCs w:val="22"/>
        </w:rPr>
        <w:t>”</w:t>
      </w:r>
    </w:p>
    <w:p w14:paraId="7DD4CBB3" w14:textId="77777777" w:rsidR="00FC046A" w:rsidRPr="009B0284" w:rsidRDefault="00FC046A">
      <w:pPr>
        <w:pStyle w:val="EndnoteText"/>
        <w:rPr>
          <w:rFonts w:ascii="Times New Roman" w:hAnsi="Times New Roman" w:cs="Times New Roman"/>
          <w:sz w:val="22"/>
          <w:szCs w:val="22"/>
        </w:rPr>
      </w:pPr>
    </w:p>
  </w:endnote>
  <w:endnote w:id="135">
    <w:p w14:paraId="069A35CE" w14:textId="48D1966D" w:rsidR="00FC046A" w:rsidRPr="00C46646" w:rsidRDefault="00FC046A">
      <w:pPr>
        <w:pStyle w:val="EndnoteText"/>
        <w:rPr>
          <w:rFonts w:ascii="Times New Roman" w:hAnsi="Times New Roman" w:cs="Times New Roman"/>
          <w:sz w:val="22"/>
          <w:szCs w:val="22"/>
        </w:rPr>
      </w:pPr>
      <w:r w:rsidRPr="00C46646">
        <w:rPr>
          <w:rStyle w:val="EndnoteReference"/>
          <w:rFonts w:ascii="Times New Roman" w:hAnsi="Times New Roman" w:cs="Times New Roman"/>
          <w:sz w:val="22"/>
          <w:szCs w:val="22"/>
        </w:rPr>
        <w:endnoteRef/>
      </w:r>
      <w:r>
        <w:rPr>
          <w:rFonts w:ascii="Times New Roman" w:hAnsi="Times New Roman" w:cs="Times New Roman"/>
          <w:sz w:val="22"/>
          <w:szCs w:val="22"/>
        </w:rPr>
        <w:t xml:space="preserve"> </w:t>
      </w:r>
      <w:r w:rsidRPr="001C23B9">
        <w:rPr>
          <w:rFonts w:ascii="Times New Roman" w:hAnsi="Times New Roman" w:cs="Times New Roman"/>
          <w:sz w:val="22"/>
          <w:szCs w:val="22"/>
        </w:rPr>
        <w:t>See</w:t>
      </w:r>
      <w:r>
        <w:rPr>
          <w:rFonts w:ascii="Times New Roman" w:hAnsi="Times New Roman" w:cs="Times New Roman"/>
          <w:sz w:val="22"/>
          <w:szCs w:val="22"/>
        </w:rPr>
        <w:t xml:space="preserve"> </w:t>
      </w:r>
      <w:r w:rsidRPr="00C5684A">
        <w:rPr>
          <w:rFonts w:ascii="Times New Roman" w:hAnsi="Times New Roman" w:cs="Times New Roman"/>
          <w:i/>
          <w:sz w:val="22"/>
          <w:szCs w:val="22"/>
        </w:rPr>
        <w:t>Harper Group v. Commissioner</w:t>
      </w:r>
      <w:r w:rsidRPr="001C23B9">
        <w:rPr>
          <w:rFonts w:ascii="Times New Roman" w:hAnsi="Times New Roman" w:cs="Times New Roman"/>
          <w:sz w:val="22"/>
          <w:szCs w:val="22"/>
        </w:rPr>
        <w:t xml:space="preserve">, </w:t>
      </w:r>
      <w:r w:rsidRPr="00E21248">
        <w:rPr>
          <w:rFonts w:ascii="Times New Roman" w:hAnsi="Times New Roman" w:cs="Times New Roman"/>
          <w:sz w:val="22"/>
          <w:szCs w:val="22"/>
        </w:rPr>
        <w:t>96 T.C. 45 (1991), aff’d, 979 F.2d. 1341 (9th Cir. 1992).</w:t>
      </w:r>
      <w:r>
        <w:rPr>
          <w:rFonts w:ascii="Times New Roman" w:hAnsi="Times New Roman" w:cs="Times New Roman"/>
          <w:sz w:val="22"/>
          <w:szCs w:val="22"/>
        </w:rPr>
        <w:t xml:space="preserve">  </w:t>
      </w:r>
      <w:r w:rsidRPr="006A115E">
        <w:rPr>
          <w:rFonts w:ascii="Times New Roman" w:hAnsi="Times New Roman" w:cs="Times New Roman"/>
          <w:sz w:val="22"/>
          <w:szCs w:val="22"/>
        </w:rPr>
        <w:t xml:space="preserve">In </w:t>
      </w:r>
      <w:r w:rsidRPr="006A115E">
        <w:rPr>
          <w:rFonts w:ascii="Times New Roman" w:hAnsi="Times New Roman" w:cs="Times New Roman"/>
          <w:i/>
          <w:sz w:val="22"/>
          <w:szCs w:val="22"/>
        </w:rPr>
        <w:t>Harper</w:t>
      </w:r>
      <w:r w:rsidRPr="006A115E">
        <w:rPr>
          <w:rFonts w:ascii="Times New Roman" w:hAnsi="Times New Roman" w:cs="Times New Roman"/>
          <w:sz w:val="22"/>
          <w:szCs w:val="22"/>
        </w:rPr>
        <w:t xml:space="preserve">, the </w:t>
      </w:r>
      <w:r>
        <w:rPr>
          <w:rFonts w:ascii="Times New Roman" w:hAnsi="Times New Roman" w:cs="Times New Roman"/>
          <w:sz w:val="22"/>
          <w:szCs w:val="22"/>
        </w:rPr>
        <w:t xml:space="preserve">tax </w:t>
      </w:r>
      <w:r w:rsidRPr="006A115E">
        <w:rPr>
          <w:rFonts w:ascii="Times New Roman" w:hAnsi="Times New Roman" w:cs="Times New Roman"/>
          <w:sz w:val="22"/>
          <w:szCs w:val="22"/>
        </w:rPr>
        <w:t xml:space="preserve">court specifically addressed the issue of setting premiums for a captive insurance company and its insured affiliates. The </w:t>
      </w:r>
      <w:r>
        <w:rPr>
          <w:rFonts w:ascii="Times New Roman" w:hAnsi="Times New Roman" w:cs="Times New Roman"/>
          <w:sz w:val="22"/>
          <w:szCs w:val="22"/>
        </w:rPr>
        <w:t xml:space="preserve">tax </w:t>
      </w:r>
      <w:r w:rsidRPr="006A115E">
        <w:rPr>
          <w:rFonts w:ascii="Times New Roman" w:hAnsi="Times New Roman" w:cs="Times New Roman"/>
          <w:sz w:val="22"/>
          <w:szCs w:val="22"/>
        </w:rPr>
        <w:t>court noted that the premium rates charged “were determined by reference to competitive pricing gathered by the petitioner’s management in the course of their business and incorporated in the rates approved by [the captive insurance company].”</w:t>
      </w:r>
      <w:r>
        <w:rPr>
          <w:rFonts w:ascii="Times New Roman" w:hAnsi="Times New Roman" w:cs="Times New Roman"/>
          <w:sz w:val="22"/>
          <w:szCs w:val="22"/>
        </w:rPr>
        <w:t xml:space="preserve">  </w:t>
      </w:r>
      <w:r w:rsidRPr="00280301">
        <w:rPr>
          <w:rFonts w:ascii="Times New Roman" w:hAnsi="Times New Roman" w:cs="Times New Roman"/>
          <w:sz w:val="22"/>
          <w:szCs w:val="22"/>
        </w:rPr>
        <w:t xml:space="preserve">See </w:t>
      </w:r>
      <w:r w:rsidRPr="00280301">
        <w:rPr>
          <w:rFonts w:ascii="Times New Roman" w:hAnsi="Times New Roman" w:cs="Times New Roman"/>
          <w:i/>
          <w:sz w:val="22"/>
          <w:szCs w:val="22"/>
        </w:rPr>
        <w:t>Harper</w:t>
      </w:r>
      <w:r w:rsidRPr="00280301">
        <w:rPr>
          <w:rFonts w:ascii="Times New Roman" w:hAnsi="Times New Roman" w:cs="Times New Roman"/>
          <w:sz w:val="22"/>
          <w:szCs w:val="22"/>
        </w:rPr>
        <w:t>, 96 T.C. 45 (1991) at 50.</w:t>
      </w:r>
      <w:r>
        <w:rPr>
          <w:rFonts w:ascii="Times New Roman" w:hAnsi="Times New Roman" w:cs="Times New Roman"/>
          <w:sz w:val="22"/>
          <w:szCs w:val="22"/>
        </w:rPr>
        <w:t xml:space="preserve">  </w:t>
      </w:r>
      <w:r w:rsidRPr="001C5C31">
        <w:rPr>
          <w:rFonts w:ascii="Times New Roman" w:hAnsi="Times New Roman" w:cs="Times New Roman"/>
          <w:sz w:val="22"/>
          <w:szCs w:val="22"/>
        </w:rPr>
        <w:t>The court specifically held that the determination of the premiums in this manner was proper.  Notably, the court emphasized that “[s]uch rates were not determined by reference to actuarially determined loss projections.”</w:t>
      </w:r>
      <w:r>
        <w:rPr>
          <w:rFonts w:ascii="Times New Roman" w:hAnsi="Times New Roman" w:cs="Times New Roman"/>
          <w:sz w:val="22"/>
          <w:szCs w:val="22"/>
        </w:rPr>
        <w:t xml:space="preserve">  </w:t>
      </w:r>
      <w:r w:rsidRPr="001C5C31">
        <w:rPr>
          <w:rFonts w:ascii="Times New Roman" w:hAnsi="Times New Roman" w:cs="Times New Roman"/>
          <w:i/>
          <w:sz w:val="22"/>
          <w:szCs w:val="22"/>
        </w:rPr>
        <w:t>Id</w:t>
      </w:r>
      <w:r>
        <w:rPr>
          <w:rFonts w:ascii="Times New Roman" w:hAnsi="Times New Roman" w:cs="Times New Roman"/>
          <w:sz w:val="22"/>
          <w:szCs w:val="22"/>
        </w:rPr>
        <w:t>.</w:t>
      </w:r>
    </w:p>
    <w:p w14:paraId="1AB8D8EC" w14:textId="77777777" w:rsidR="00FC046A" w:rsidRPr="00C46646" w:rsidRDefault="00FC046A">
      <w:pPr>
        <w:pStyle w:val="EndnoteText"/>
        <w:rPr>
          <w:rFonts w:ascii="Times New Roman" w:hAnsi="Times New Roman" w:cs="Times New Roman"/>
          <w:sz w:val="22"/>
          <w:szCs w:val="22"/>
        </w:rPr>
      </w:pPr>
    </w:p>
  </w:endnote>
  <w:endnote w:id="136">
    <w:p w14:paraId="22C7564D" w14:textId="12B0B913" w:rsidR="00FC046A" w:rsidRPr="009B0284" w:rsidRDefault="00FC046A">
      <w:pPr>
        <w:pStyle w:val="EndnoteText"/>
        <w:rPr>
          <w:rFonts w:ascii="Times New Roman" w:hAnsi="Times New Roman" w:cs="Times New Roman"/>
          <w:sz w:val="22"/>
          <w:szCs w:val="22"/>
        </w:rPr>
      </w:pPr>
      <w:r w:rsidRPr="009B0284">
        <w:rPr>
          <w:rStyle w:val="EndnoteReference"/>
          <w:rFonts w:ascii="Times New Roman" w:hAnsi="Times New Roman" w:cs="Times New Roman"/>
          <w:sz w:val="22"/>
          <w:szCs w:val="22"/>
        </w:rPr>
        <w:endnoteRef/>
      </w:r>
      <w:r w:rsidRPr="009B0284">
        <w:rPr>
          <w:rFonts w:ascii="Times New Roman" w:hAnsi="Times New Roman" w:cs="Times New Roman"/>
          <w:sz w:val="22"/>
          <w:szCs w:val="22"/>
        </w:rPr>
        <w:t xml:space="preserve"> </w:t>
      </w:r>
      <w:r>
        <w:rPr>
          <w:rFonts w:ascii="Times New Roman" w:hAnsi="Times New Roman" w:cs="Times New Roman"/>
          <w:sz w:val="22"/>
          <w:szCs w:val="22"/>
        </w:rPr>
        <w:t>See Exhibit 109-P (</w:t>
      </w:r>
      <w:r w:rsidRPr="006F74D1">
        <w:rPr>
          <w:rFonts w:ascii="Times New Roman" w:hAnsi="Times New Roman" w:cs="Times New Roman"/>
          <w:sz w:val="22"/>
          <w:szCs w:val="22"/>
        </w:rPr>
        <w:t xml:space="preserve">Mid-Continent General Agency, Inc. – Indication, Underwriters at Lloyds of London, Surplus Lines Company, </w:t>
      </w:r>
      <w:r w:rsidRPr="00C7060E">
        <w:rPr>
          <w:rFonts w:ascii="Times New Roman" w:hAnsi="Times New Roman" w:cs="Times New Roman"/>
          <w:sz w:val="22"/>
          <w:szCs w:val="22"/>
        </w:rPr>
        <w:t xml:space="preserve">Best Rating: A, XV for Reserve Casualty Corporation Policies Issued to Peak Mechanical &amp; Components, Inc.).  See also </w:t>
      </w:r>
      <w:r w:rsidRPr="00C7060E">
        <w:rPr>
          <w:rFonts w:ascii="Times New Roman" w:hAnsi="Times New Roman" w:cs="Times New Roman"/>
          <w:i/>
          <w:sz w:val="22"/>
          <w:szCs w:val="22"/>
        </w:rPr>
        <w:t>Harper</w:t>
      </w:r>
      <w:r w:rsidRPr="00C7060E">
        <w:rPr>
          <w:rFonts w:ascii="Times New Roman" w:hAnsi="Times New Roman" w:cs="Times New Roman"/>
          <w:sz w:val="22"/>
          <w:szCs w:val="22"/>
        </w:rPr>
        <w:t xml:space="preserve"> at 50.</w:t>
      </w:r>
    </w:p>
    <w:p w14:paraId="112301CA" w14:textId="77777777" w:rsidR="00FC046A" w:rsidRPr="009B0284" w:rsidRDefault="00FC046A">
      <w:pPr>
        <w:pStyle w:val="EndnoteText"/>
        <w:rPr>
          <w:rFonts w:ascii="Times New Roman" w:hAnsi="Times New Roman" w:cs="Times New Roman"/>
          <w:sz w:val="22"/>
          <w:szCs w:val="22"/>
        </w:rPr>
      </w:pPr>
    </w:p>
  </w:endnote>
  <w:endnote w:id="137">
    <w:p w14:paraId="67979407" w14:textId="748A135B" w:rsidR="00FC046A" w:rsidRPr="00763239" w:rsidRDefault="00FC046A">
      <w:pPr>
        <w:pStyle w:val="EndnoteText"/>
        <w:rPr>
          <w:rFonts w:ascii="Times New Roman" w:hAnsi="Times New Roman" w:cs="Times New Roman"/>
          <w:sz w:val="22"/>
          <w:szCs w:val="22"/>
        </w:rPr>
      </w:pPr>
      <w:r w:rsidRPr="006B327D">
        <w:rPr>
          <w:rStyle w:val="EndnoteReference"/>
          <w:rFonts w:ascii="Times New Roman" w:hAnsi="Times New Roman" w:cs="Times New Roman"/>
          <w:sz w:val="22"/>
          <w:szCs w:val="22"/>
        </w:rPr>
        <w:endnoteRef/>
      </w:r>
      <w:r w:rsidRPr="006B327D">
        <w:rPr>
          <w:rFonts w:ascii="Times New Roman" w:hAnsi="Times New Roman" w:cs="Times New Roman"/>
          <w:sz w:val="22"/>
          <w:szCs w:val="22"/>
        </w:rPr>
        <w:t xml:space="preserve"> </w:t>
      </w:r>
      <w:r w:rsidRPr="00774382">
        <w:rPr>
          <w:rFonts w:ascii="Times New Roman" w:hAnsi="Times New Roman" w:cs="Times New Roman"/>
          <w:sz w:val="22"/>
          <w:szCs w:val="22"/>
        </w:rPr>
        <w:t xml:space="preserve">See testimony of Lance McNeel, </w:t>
      </w:r>
      <w:r>
        <w:rPr>
          <w:rFonts w:ascii="Times New Roman" w:hAnsi="Times New Roman" w:cs="Times New Roman"/>
          <w:sz w:val="22"/>
          <w:szCs w:val="22"/>
        </w:rPr>
        <w:t>Tr.</w:t>
      </w:r>
      <w:r w:rsidRPr="00774382">
        <w:rPr>
          <w:rFonts w:ascii="Times New Roman" w:hAnsi="Times New Roman" w:cs="Times New Roman"/>
          <w:sz w:val="22"/>
          <w:szCs w:val="22"/>
        </w:rPr>
        <w:t xml:space="preserve"> at 323-36</w:t>
      </w:r>
      <w:r>
        <w:rPr>
          <w:rFonts w:ascii="Times New Roman" w:hAnsi="Times New Roman" w:cs="Times New Roman"/>
          <w:sz w:val="22"/>
          <w:szCs w:val="22"/>
        </w:rPr>
        <w:t>6 on the pricing procedures implemented for all pool participants, including Reserve.  Mr. McNeel testified at 356 that Capstone’s pricing procedures were unique to each captive insurance company that Capstone managed, taking into account multiple individual risk factors, summarized below.  See also Exhibit 109-P (</w:t>
      </w:r>
      <w:r w:rsidRPr="00596B9F">
        <w:rPr>
          <w:rFonts w:ascii="Times New Roman" w:hAnsi="Times New Roman" w:cs="Times New Roman"/>
          <w:sz w:val="22"/>
          <w:szCs w:val="22"/>
        </w:rPr>
        <w:t>Mid-Continent General Agency, Inc. – Indication, Underwriters at Lloyds of London, Surplus Lines Company, Best Rating: A, XV for Reserve</w:t>
      </w:r>
      <w:r>
        <w:rPr>
          <w:rFonts w:ascii="Times New Roman" w:hAnsi="Times New Roman" w:cs="Times New Roman"/>
          <w:sz w:val="22"/>
          <w:szCs w:val="22"/>
        </w:rPr>
        <w:t>), Exhibit 110-P (</w:t>
      </w:r>
      <w:r w:rsidRPr="00A36B8D">
        <w:rPr>
          <w:rFonts w:ascii="Times New Roman" w:hAnsi="Times New Roman" w:cs="Times New Roman"/>
          <w:sz w:val="22"/>
          <w:szCs w:val="22"/>
        </w:rPr>
        <w:t>Capstone Associated Services, Ltd – 2010 Policy Rate Analysis Summary</w:t>
      </w:r>
      <w:r>
        <w:rPr>
          <w:rFonts w:ascii="Times New Roman" w:hAnsi="Times New Roman" w:cs="Times New Roman"/>
          <w:sz w:val="22"/>
          <w:szCs w:val="22"/>
        </w:rPr>
        <w:t xml:space="preserve">), Exhibit 111-P (Increase Limit Factors), and Exhibit 112-P (Reserve Casualty Corp. – Rating Worksheet for Peak Mechanical, Inc. for policy years 2008-2010).  Mr. McNeel testified that the premium pricing for each type of coverage that was underwritten by Reserve for coverages provided to the Peak insureds, as reflected on Exhibit 112-P, took into account multiple individual factors, including Reserve’s premium indications (received from Mid-Continent), the applicable policy limit, the exposure basis (based on either the insured’s revenue or the insured’s number of employees), an increase limit factor, and the relevant policy period (i.e., whether the policy period was a short policy period or a full annual term policy period).  Mr. McNeel testified that a “pro rata premium” was calculated using the rating worksheet for each coverage </w:t>
      </w:r>
      <w:r w:rsidRPr="00DA78E1">
        <w:rPr>
          <w:rFonts w:ascii="Times New Roman" w:hAnsi="Times New Roman" w:cs="Times New Roman"/>
          <w:sz w:val="22"/>
          <w:szCs w:val="22"/>
          <w:u w:val="single"/>
        </w:rPr>
        <w:t>after considering all these factors</w:t>
      </w:r>
      <w:r>
        <w:rPr>
          <w:rFonts w:ascii="Times New Roman" w:hAnsi="Times New Roman" w:cs="Times New Roman"/>
          <w:sz w:val="22"/>
          <w:szCs w:val="22"/>
        </w:rPr>
        <w:t>.  See Tr.</w:t>
      </w:r>
      <w:r w:rsidRPr="00774382">
        <w:rPr>
          <w:rFonts w:ascii="Times New Roman" w:hAnsi="Times New Roman" w:cs="Times New Roman"/>
          <w:sz w:val="22"/>
          <w:szCs w:val="22"/>
        </w:rPr>
        <w:t xml:space="preserve"> </w:t>
      </w:r>
      <w:r>
        <w:rPr>
          <w:rFonts w:ascii="Times New Roman" w:hAnsi="Times New Roman" w:cs="Times New Roman"/>
          <w:sz w:val="22"/>
          <w:szCs w:val="22"/>
        </w:rPr>
        <w:t>at 356-366.</w:t>
      </w:r>
    </w:p>
    <w:p w14:paraId="3D16B014" w14:textId="77777777" w:rsidR="00FC046A" w:rsidRPr="00422D05" w:rsidRDefault="00FC046A">
      <w:pPr>
        <w:pStyle w:val="EndnoteText"/>
        <w:rPr>
          <w:rFonts w:ascii="Times New Roman" w:hAnsi="Times New Roman" w:cs="Times New Roman"/>
          <w:sz w:val="22"/>
          <w:szCs w:val="22"/>
        </w:rPr>
      </w:pPr>
    </w:p>
  </w:endnote>
  <w:endnote w:id="138">
    <w:p w14:paraId="7432A84F" w14:textId="6ACB1C0C" w:rsidR="00FC046A" w:rsidRDefault="00FC046A" w:rsidP="008457B2">
      <w:pPr>
        <w:pStyle w:val="EndnoteText"/>
        <w:rPr>
          <w:rFonts w:ascii="Times New Roman" w:hAnsi="Times New Roman" w:cs="Times New Roman"/>
          <w:sz w:val="22"/>
          <w:szCs w:val="22"/>
        </w:rPr>
      </w:pPr>
      <w:r w:rsidRPr="00422D05">
        <w:rPr>
          <w:rStyle w:val="EndnoteReference"/>
          <w:rFonts w:ascii="Times New Roman" w:hAnsi="Times New Roman" w:cs="Times New Roman"/>
          <w:sz w:val="22"/>
          <w:szCs w:val="22"/>
        </w:rPr>
        <w:endnoteRef/>
      </w:r>
      <w:r w:rsidRPr="00422D05">
        <w:rPr>
          <w:rFonts w:ascii="Times New Roman" w:hAnsi="Times New Roman" w:cs="Times New Roman"/>
          <w:sz w:val="22"/>
          <w:szCs w:val="22"/>
        </w:rPr>
        <w:t xml:space="preserve"> </w:t>
      </w:r>
      <w:r w:rsidRPr="00EF7F6D">
        <w:rPr>
          <w:rFonts w:ascii="Times New Roman" w:hAnsi="Times New Roman" w:cs="Times New Roman"/>
          <w:sz w:val="22"/>
          <w:szCs w:val="22"/>
        </w:rPr>
        <w:t xml:space="preserve">See testimony of Esperanza Mead, </w:t>
      </w:r>
      <w:r>
        <w:rPr>
          <w:rFonts w:ascii="Times New Roman" w:hAnsi="Times New Roman" w:cs="Times New Roman"/>
          <w:sz w:val="22"/>
          <w:szCs w:val="22"/>
        </w:rPr>
        <w:t>Tr.</w:t>
      </w:r>
      <w:r w:rsidRPr="00EF7F6D">
        <w:rPr>
          <w:rFonts w:ascii="Times New Roman" w:hAnsi="Times New Roman" w:cs="Times New Roman"/>
          <w:sz w:val="22"/>
          <w:szCs w:val="22"/>
        </w:rPr>
        <w:t xml:space="preserve"> at 407-436, and Exhibit 113-P (Expert Actuarial Peer Review Report of Esperanza Mead</w:t>
      </w:r>
      <w:r>
        <w:rPr>
          <w:rFonts w:ascii="Times New Roman" w:hAnsi="Times New Roman" w:cs="Times New Roman"/>
          <w:sz w:val="22"/>
          <w:szCs w:val="22"/>
        </w:rPr>
        <w:t xml:space="preserve">, </w:t>
      </w:r>
      <w:r w:rsidRPr="00EF7F6D">
        <w:rPr>
          <w:rFonts w:ascii="Times New Roman" w:hAnsi="Times New Roman" w:cs="Times New Roman"/>
          <w:sz w:val="22"/>
          <w:szCs w:val="22"/>
        </w:rPr>
        <w:t>March 10, 2017). See also testimony of Michael Solomon, at 466-494, and Exhibit 117-P (Expert Actuarial Review Report of Michael Solomon</w:t>
      </w:r>
      <w:r>
        <w:rPr>
          <w:rFonts w:ascii="Times New Roman" w:hAnsi="Times New Roman" w:cs="Times New Roman"/>
          <w:sz w:val="22"/>
          <w:szCs w:val="22"/>
        </w:rPr>
        <w:t xml:space="preserve">, </w:t>
      </w:r>
      <w:r w:rsidRPr="00EF7F6D">
        <w:rPr>
          <w:rFonts w:ascii="Times New Roman" w:hAnsi="Times New Roman" w:cs="Times New Roman"/>
          <w:sz w:val="22"/>
          <w:szCs w:val="22"/>
        </w:rPr>
        <w:t>March 27, 2017).</w:t>
      </w:r>
      <w:r>
        <w:rPr>
          <w:rFonts w:ascii="Times New Roman" w:hAnsi="Times New Roman" w:cs="Times New Roman"/>
          <w:sz w:val="22"/>
          <w:szCs w:val="22"/>
        </w:rPr>
        <w:t xml:space="preserve">  Both of these actuaries testified that the pricing of Reserve’s direct written policies was reasonable.  See also </w:t>
      </w:r>
      <w:r w:rsidRPr="007A0E77">
        <w:rPr>
          <w:rFonts w:ascii="Times New Roman" w:hAnsi="Times New Roman" w:cs="Times New Roman"/>
          <w:sz w:val="22"/>
          <w:szCs w:val="22"/>
        </w:rPr>
        <w:t>Exhibit 95-J (</w:t>
      </w:r>
      <w:r>
        <w:rPr>
          <w:rFonts w:ascii="Times New Roman" w:hAnsi="Times New Roman" w:cs="Times New Roman"/>
          <w:sz w:val="22"/>
          <w:szCs w:val="22"/>
        </w:rPr>
        <w:t xml:space="preserve">Report </w:t>
      </w:r>
      <w:r w:rsidRPr="007A0E77">
        <w:rPr>
          <w:rFonts w:ascii="Times New Roman" w:hAnsi="Times New Roman" w:cs="Times New Roman"/>
          <w:sz w:val="22"/>
          <w:szCs w:val="22"/>
        </w:rPr>
        <w:t>from actuary Glicksman to Capstone’s Lance McNeel, CPCU</w:t>
      </w:r>
      <w:r>
        <w:rPr>
          <w:rFonts w:ascii="Times New Roman" w:hAnsi="Times New Roman" w:cs="Times New Roman"/>
          <w:sz w:val="22"/>
          <w:szCs w:val="22"/>
        </w:rPr>
        <w:t xml:space="preserve">, </w:t>
      </w:r>
      <w:r w:rsidRPr="007A0E77">
        <w:rPr>
          <w:rFonts w:ascii="Times New Roman" w:hAnsi="Times New Roman" w:cs="Times New Roman"/>
          <w:sz w:val="22"/>
          <w:szCs w:val="22"/>
        </w:rPr>
        <w:t>January 31, 2012 with “Discussion of PoolRe’s Coverage Options”), referenc</w:t>
      </w:r>
      <w:r>
        <w:rPr>
          <w:rFonts w:ascii="Times New Roman" w:hAnsi="Times New Roman" w:cs="Times New Roman"/>
          <w:sz w:val="22"/>
          <w:szCs w:val="22"/>
        </w:rPr>
        <w:t>ing</w:t>
      </w:r>
      <w:r w:rsidRPr="007A0E77">
        <w:rPr>
          <w:rFonts w:ascii="Times New Roman" w:hAnsi="Times New Roman" w:cs="Times New Roman"/>
          <w:sz w:val="22"/>
          <w:szCs w:val="22"/>
        </w:rPr>
        <w:t xml:space="preserve"> a previous </w:t>
      </w:r>
      <w:r>
        <w:rPr>
          <w:rFonts w:ascii="Times New Roman" w:hAnsi="Times New Roman" w:cs="Times New Roman"/>
          <w:sz w:val="22"/>
          <w:szCs w:val="22"/>
        </w:rPr>
        <w:t xml:space="preserve">report </w:t>
      </w:r>
      <w:r w:rsidRPr="007A0E77">
        <w:rPr>
          <w:rFonts w:ascii="Times New Roman" w:hAnsi="Times New Roman" w:cs="Times New Roman"/>
          <w:sz w:val="22"/>
          <w:szCs w:val="22"/>
        </w:rPr>
        <w:t xml:space="preserve">from </w:t>
      </w:r>
      <w:r>
        <w:rPr>
          <w:rFonts w:ascii="Times New Roman" w:hAnsi="Times New Roman" w:cs="Times New Roman"/>
          <w:sz w:val="22"/>
          <w:szCs w:val="22"/>
        </w:rPr>
        <w:t xml:space="preserve">actuary </w:t>
      </w:r>
      <w:r w:rsidRPr="007A0E77">
        <w:rPr>
          <w:rFonts w:ascii="Times New Roman" w:hAnsi="Times New Roman" w:cs="Times New Roman"/>
          <w:sz w:val="22"/>
          <w:szCs w:val="22"/>
        </w:rPr>
        <w:t xml:space="preserve">Glicksman </w:t>
      </w:r>
      <w:r>
        <w:rPr>
          <w:rFonts w:ascii="Times New Roman" w:hAnsi="Times New Roman" w:cs="Times New Roman"/>
          <w:sz w:val="22"/>
          <w:szCs w:val="22"/>
        </w:rPr>
        <w:t xml:space="preserve">to McNeel, </w:t>
      </w:r>
      <w:r w:rsidRPr="007A0E77">
        <w:rPr>
          <w:rFonts w:ascii="Times New Roman" w:hAnsi="Times New Roman" w:cs="Times New Roman"/>
          <w:sz w:val="22"/>
          <w:szCs w:val="22"/>
        </w:rPr>
        <w:t>October 20, 2009</w:t>
      </w:r>
      <w:r>
        <w:rPr>
          <w:rFonts w:ascii="Times New Roman" w:hAnsi="Times New Roman" w:cs="Times New Roman"/>
          <w:sz w:val="22"/>
          <w:szCs w:val="22"/>
        </w:rPr>
        <w:t>.  See pages 2-3 and “Exhibit -1” to Exhibit 95-J, discussing the factors considered by actuary Glicksman in calculating the percentage of direct written premiums to be paid to PoolRe by each participating captive.</w:t>
      </w:r>
    </w:p>
    <w:p w14:paraId="1111CBBA" w14:textId="77777777" w:rsidR="00FC046A" w:rsidRPr="00422D05" w:rsidRDefault="00FC046A">
      <w:pPr>
        <w:pStyle w:val="EndnoteText"/>
        <w:rPr>
          <w:rFonts w:ascii="Times New Roman" w:hAnsi="Times New Roman" w:cs="Times New Roman"/>
          <w:sz w:val="22"/>
          <w:szCs w:val="22"/>
        </w:rPr>
      </w:pPr>
    </w:p>
  </w:endnote>
  <w:endnote w:id="139">
    <w:p w14:paraId="2A6DB972" w14:textId="51585EEB" w:rsidR="00FC046A" w:rsidRDefault="00FC046A" w:rsidP="00106B9A">
      <w:pPr>
        <w:pStyle w:val="EndnoteText"/>
        <w:rPr>
          <w:rFonts w:ascii="Times New Roman" w:hAnsi="Times New Roman" w:cs="Times New Roman"/>
          <w:sz w:val="22"/>
          <w:szCs w:val="22"/>
        </w:rPr>
      </w:pPr>
      <w:r w:rsidRPr="00681E73">
        <w:rPr>
          <w:rStyle w:val="EndnoteReference"/>
          <w:rFonts w:ascii="Times New Roman" w:hAnsi="Times New Roman" w:cs="Times New Roman"/>
          <w:sz w:val="22"/>
          <w:szCs w:val="22"/>
        </w:rPr>
        <w:endnoteRef/>
      </w:r>
      <w:r w:rsidRPr="0042594D">
        <w:rPr>
          <w:rFonts w:ascii="Times New Roman" w:hAnsi="Times New Roman" w:cs="Times New Roman"/>
          <w:sz w:val="22"/>
          <w:szCs w:val="22"/>
        </w:rPr>
        <w:t xml:space="preserve"> </w:t>
      </w:r>
      <w:r>
        <w:rPr>
          <w:rFonts w:ascii="Times New Roman" w:hAnsi="Times New Roman" w:cs="Times New Roman"/>
          <w:sz w:val="22"/>
          <w:szCs w:val="22"/>
        </w:rPr>
        <w:t xml:space="preserve">See Opinion at 61. </w:t>
      </w:r>
    </w:p>
    <w:p w14:paraId="4E701D82" w14:textId="77777777" w:rsidR="00FC046A" w:rsidRPr="0042594D" w:rsidRDefault="00FC046A" w:rsidP="00106B9A">
      <w:pPr>
        <w:pStyle w:val="EndnoteText"/>
        <w:rPr>
          <w:rFonts w:ascii="Times New Roman" w:hAnsi="Times New Roman" w:cs="Times New Roman"/>
          <w:sz w:val="22"/>
          <w:szCs w:val="22"/>
        </w:rPr>
      </w:pPr>
    </w:p>
  </w:endnote>
  <w:endnote w:id="140">
    <w:p w14:paraId="3E28EEED" w14:textId="0A58CEAB" w:rsidR="00FC046A" w:rsidRPr="00721FB1" w:rsidRDefault="00FC046A">
      <w:pPr>
        <w:pStyle w:val="EndnoteText"/>
        <w:rPr>
          <w:rFonts w:ascii="Times New Roman" w:hAnsi="Times New Roman" w:cs="Times New Roman"/>
          <w:sz w:val="22"/>
          <w:szCs w:val="22"/>
        </w:rPr>
      </w:pPr>
      <w:r w:rsidRPr="00721FB1">
        <w:rPr>
          <w:rStyle w:val="EndnoteReference"/>
          <w:rFonts w:ascii="Times New Roman" w:hAnsi="Times New Roman" w:cs="Times New Roman"/>
          <w:sz w:val="22"/>
          <w:szCs w:val="22"/>
        </w:rPr>
        <w:endnoteRef/>
      </w:r>
      <w:r w:rsidRPr="00721FB1">
        <w:rPr>
          <w:rFonts w:ascii="Times New Roman" w:hAnsi="Times New Roman" w:cs="Times New Roman"/>
          <w:sz w:val="22"/>
          <w:szCs w:val="22"/>
        </w:rPr>
        <w:t xml:space="preserve"> </w:t>
      </w:r>
      <w:r w:rsidRPr="002B7966">
        <w:rPr>
          <w:rFonts w:ascii="Times New Roman" w:hAnsi="Times New Roman" w:cs="Times New Roman"/>
          <w:sz w:val="22"/>
          <w:szCs w:val="22"/>
        </w:rPr>
        <w:t xml:space="preserve">See </w:t>
      </w:r>
      <w:r>
        <w:rPr>
          <w:rFonts w:ascii="Times New Roman" w:hAnsi="Times New Roman" w:cs="Times New Roman"/>
          <w:sz w:val="22"/>
          <w:szCs w:val="22"/>
        </w:rPr>
        <w:t>Tr.</w:t>
      </w:r>
      <w:r w:rsidRPr="002B7966">
        <w:rPr>
          <w:rFonts w:ascii="Times New Roman" w:hAnsi="Times New Roman" w:cs="Times New Roman"/>
          <w:sz w:val="22"/>
          <w:szCs w:val="22"/>
        </w:rPr>
        <w:t xml:space="preserve"> </w:t>
      </w:r>
      <w:r>
        <w:rPr>
          <w:rFonts w:ascii="Times New Roman" w:hAnsi="Times New Roman" w:cs="Times New Roman"/>
          <w:sz w:val="22"/>
          <w:szCs w:val="22"/>
        </w:rPr>
        <w:t xml:space="preserve">at </w:t>
      </w:r>
      <w:r w:rsidRPr="002B7966">
        <w:rPr>
          <w:rFonts w:ascii="Times New Roman" w:hAnsi="Times New Roman" w:cs="Times New Roman"/>
          <w:sz w:val="22"/>
          <w:szCs w:val="22"/>
        </w:rPr>
        <w:t>925 and Exhibit 136-R (Opening Expert Report of Donald J. Riggin, March 27, 2017).</w:t>
      </w:r>
      <w:r>
        <w:rPr>
          <w:rFonts w:ascii="Times New Roman" w:hAnsi="Times New Roman" w:cs="Times New Roman"/>
          <w:sz w:val="22"/>
          <w:szCs w:val="22"/>
        </w:rPr>
        <w:t xml:space="preserve">  Mr. Riggin</w:t>
      </w:r>
      <w:r w:rsidRPr="00A34F3F">
        <w:rPr>
          <w:rFonts w:ascii="Times New Roman" w:hAnsi="Times New Roman" w:cs="Times New Roman"/>
          <w:sz w:val="22"/>
          <w:szCs w:val="22"/>
        </w:rPr>
        <w:t xml:space="preserve"> had no opinion regarding the specific pricing of even a single policy and did not make any determination that the premiums charged by Reserve </w:t>
      </w:r>
      <w:r>
        <w:rPr>
          <w:rFonts w:ascii="Times New Roman" w:hAnsi="Times New Roman" w:cs="Times New Roman"/>
          <w:sz w:val="22"/>
          <w:szCs w:val="22"/>
        </w:rPr>
        <w:t xml:space="preserve">or PoolRe </w:t>
      </w:r>
      <w:r w:rsidRPr="00A34F3F">
        <w:rPr>
          <w:rFonts w:ascii="Times New Roman" w:hAnsi="Times New Roman" w:cs="Times New Roman"/>
          <w:sz w:val="22"/>
          <w:szCs w:val="22"/>
        </w:rPr>
        <w:t>were either over</w:t>
      </w:r>
      <w:r>
        <w:rPr>
          <w:rFonts w:ascii="Times New Roman" w:hAnsi="Times New Roman" w:cs="Times New Roman"/>
          <w:sz w:val="22"/>
          <w:szCs w:val="22"/>
        </w:rPr>
        <w:t xml:space="preserve">- or </w:t>
      </w:r>
      <w:r w:rsidRPr="00A34F3F">
        <w:rPr>
          <w:rFonts w:ascii="Times New Roman" w:hAnsi="Times New Roman" w:cs="Times New Roman"/>
          <w:sz w:val="22"/>
          <w:szCs w:val="22"/>
        </w:rPr>
        <w:t>understated</w:t>
      </w:r>
      <w:r>
        <w:rPr>
          <w:rFonts w:ascii="Times New Roman" w:hAnsi="Times New Roman" w:cs="Times New Roman"/>
          <w:sz w:val="22"/>
          <w:szCs w:val="22"/>
        </w:rPr>
        <w:t xml:space="preserve"> or whether they were reasonable in amount.</w:t>
      </w:r>
    </w:p>
    <w:p w14:paraId="4362C6C0" w14:textId="77777777" w:rsidR="00FC046A" w:rsidRDefault="00FC046A">
      <w:pPr>
        <w:pStyle w:val="EndnoteText"/>
      </w:pPr>
    </w:p>
  </w:endnote>
  <w:endnote w:id="141">
    <w:p w14:paraId="3F6F869F" w14:textId="7CB2C648" w:rsidR="00FC046A" w:rsidRDefault="00FC046A" w:rsidP="00106B9A">
      <w:pPr>
        <w:pStyle w:val="EndnoteText"/>
        <w:rPr>
          <w:rFonts w:ascii="Times New Roman" w:hAnsi="Times New Roman" w:cs="Times New Roman"/>
          <w:sz w:val="22"/>
          <w:szCs w:val="22"/>
        </w:rPr>
      </w:pPr>
      <w:r w:rsidRPr="00681E73">
        <w:rPr>
          <w:rStyle w:val="EndnoteReference"/>
          <w:rFonts w:ascii="Times New Roman" w:hAnsi="Times New Roman" w:cs="Times New Roman"/>
          <w:sz w:val="22"/>
          <w:szCs w:val="22"/>
        </w:rPr>
        <w:endnoteRef/>
      </w:r>
      <w:r w:rsidRPr="00681E73">
        <w:rPr>
          <w:rFonts w:ascii="Times New Roman" w:hAnsi="Times New Roman" w:cs="Times New Roman"/>
          <w:sz w:val="22"/>
          <w:szCs w:val="22"/>
        </w:rPr>
        <w:t xml:space="preserve"> </w:t>
      </w:r>
      <w:r>
        <w:rPr>
          <w:rFonts w:ascii="Times New Roman" w:hAnsi="Times New Roman" w:cs="Times New Roman"/>
          <w:sz w:val="22"/>
          <w:szCs w:val="22"/>
        </w:rPr>
        <w:t>See Opinion at 61.</w:t>
      </w:r>
    </w:p>
    <w:p w14:paraId="348C578E" w14:textId="77777777" w:rsidR="00FC046A" w:rsidRPr="00D11BA6" w:rsidRDefault="00FC046A" w:rsidP="00106B9A">
      <w:pPr>
        <w:pStyle w:val="EndnoteText"/>
        <w:rPr>
          <w:rFonts w:ascii="Times New Roman" w:hAnsi="Times New Roman" w:cs="Times New Roman"/>
          <w:sz w:val="22"/>
          <w:szCs w:val="22"/>
        </w:rPr>
      </w:pPr>
    </w:p>
  </w:endnote>
  <w:endnote w:id="142">
    <w:p w14:paraId="58538FF9" w14:textId="43C5F260" w:rsidR="00FC046A" w:rsidRPr="00D11BA6" w:rsidRDefault="00FC046A">
      <w:pPr>
        <w:pStyle w:val="EndnoteText"/>
        <w:rPr>
          <w:rFonts w:ascii="Times New Roman" w:hAnsi="Times New Roman" w:cs="Times New Roman"/>
          <w:sz w:val="22"/>
          <w:szCs w:val="22"/>
        </w:rPr>
      </w:pPr>
      <w:r w:rsidRPr="00D11BA6">
        <w:rPr>
          <w:rStyle w:val="EndnoteReference"/>
          <w:rFonts w:ascii="Times New Roman" w:hAnsi="Times New Roman" w:cs="Times New Roman"/>
          <w:sz w:val="22"/>
          <w:szCs w:val="22"/>
        </w:rPr>
        <w:endnoteRef/>
      </w:r>
      <w:r w:rsidRPr="00D11BA6">
        <w:rPr>
          <w:rFonts w:ascii="Times New Roman" w:hAnsi="Times New Roman" w:cs="Times New Roman"/>
          <w:sz w:val="22"/>
          <w:szCs w:val="22"/>
        </w:rPr>
        <w:t xml:space="preserve"> See Opinion at 6</w:t>
      </w:r>
      <w:r>
        <w:rPr>
          <w:rFonts w:ascii="Times New Roman" w:hAnsi="Times New Roman" w:cs="Times New Roman"/>
          <w:sz w:val="22"/>
          <w:szCs w:val="22"/>
        </w:rPr>
        <w:t>0</w:t>
      </w:r>
      <w:r w:rsidRPr="00D11BA6">
        <w:rPr>
          <w:rFonts w:ascii="Times New Roman" w:hAnsi="Times New Roman" w:cs="Times New Roman"/>
          <w:sz w:val="22"/>
          <w:szCs w:val="22"/>
        </w:rPr>
        <w:t>.</w:t>
      </w:r>
    </w:p>
    <w:p w14:paraId="28CB2E29" w14:textId="77777777" w:rsidR="00FC046A" w:rsidRPr="00D11BA6" w:rsidRDefault="00FC046A">
      <w:pPr>
        <w:pStyle w:val="EndnoteText"/>
        <w:rPr>
          <w:rFonts w:ascii="Times New Roman" w:hAnsi="Times New Roman" w:cs="Times New Roman"/>
          <w:sz w:val="22"/>
          <w:szCs w:val="22"/>
        </w:rPr>
      </w:pPr>
    </w:p>
  </w:endnote>
  <w:endnote w:id="143">
    <w:p w14:paraId="0707BB9B" w14:textId="3306EA3A" w:rsidR="00FC046A" w:rsidRDefault="00FC046A">
      <w:pPr>
        <w:pStyle w:val="EndnoteText"/>
        <w:rPr>
          <w:rFonts w:ascii="Times New Roman" w:hAnsi="Times New Roman" w:cs="Times New Roman"/>
          <w:sz w:val="22"/>
          <w:szCs w:val="22"/>
        </w:rPr>
      </w:pPr>
      <w:r w:rsidRPr="00D45854">
        <w:rPr>
          <w:rStyle w:val="EndnoteReference"/>
          <w:rFonts w:ascii="Times New Roman" w:hAnsi="Times New Roman" w:cs="Times New Roman"/>
          <w:sz w:val="22"/>
          <w:szCs w:val="22"/>
        </w:rPr>
        <w:endnoteRef/>
      </w:r>
      <w:r w:rsidRPr="00D45854">
        <w:rPr>
          <w:rFonts w:ascii="Times New Roman" w:hAnsi="Times New Roman" w:cs="Times New Roman"/>
          <w:sz w:val="22"/>
          <w:szCs w:val="22"/>
        </w:rPr>
        <w:t xml:space="preserve"> </w:t>
      </w:r>
      <w:r>
        <w:rPr>
          <w:rFonts w:ascii="Times New Roman" w:hAnsi="Times New Roman" w:cs="Times New Roman"/>
          <w:sz w:val="22"/>
          <w:szCs w:val="22"/>
        </w:rPr>
        <w:t>See Exhibit 30-P (</w:t>
      </w:r>
      <w:r w:rsidRPr="00FA6D68">
        <w:rPr>
          <w:rFonts w:ascii="Times New Roman" w:hAnsi="Times New Roman" w:cs="Times New Roman"/>
          <w:sz w:val="22"/>
          <w:szCs w:val="22"/>
        </w:rPr>
        <w:t xml:space="preserve">Reserve </w:t>
      </w:r>
      <w:r>
        <w:rPr>
          <w:rFonts w:ascii="Times New Roman" w:hAnsi="Times New Roman" w:cs="Times New Roman"/>
          <w:sz w:val="22"/>
          <w:szCs w:val="22"/>
        </w:rPr>
        <w:t>2010</w:t>
      </w:r>
      <w:r w:rsidRPr="00FA6D68">
        <w:rPr>
          <w:rFonts w:ascii="Times New Roman" w:hAnsi="Times New Roman" w:cs="Times New Roman"/>
          <w:sz w:val="22"/>
          <w:szCs w:val="22"/>
        </w:rPr>
        <w:t xml:space="preserve"> General Ledger</w:t>
      </w:r>
      <w:r>
        <w:rPr>
          <w:rFonts w:ascii="Times New Roman" w:hAnsi="Times New Roman" w:cs="Times New Roman"/>
          <w:sz w:val="22"/>
          <w:szCs w:val="22"/>
        </w:rPr>
        <w:t xml:space="preserve">), Account 50100 (Loss Expenses), reflecting </w:t>
      </w:r>
      <w:r w:rsidRPr="00703D58">
        <w:rPr>
          <w:rFonts w:ascii="Times New Roman" w:hAnsi="Times New Roman" w:cs="Times New Roman"/>
          <w:sz w:val="22"/>
          <w:szCs w:val="22"/>
        </w:rPr>
        <w:t>$56,399.81</w:t>
      </w:r>
      <w:r>
        <w:rPr>
          <w:rFonts w:ascii="Times New Roman" w:hAnsi="Times New Roman" w:cs="Times New Roman"/>
          <w:sz w:val="22"/>
          <w:szCs w:val="22"/>
        </w:rPr>
        <w:t xml:space="preserve"> losses paid in 2010 in connection with “other reinsurance.”</w:t>
      </w:r>
    </w:p>
    <w:p w14:paraId="4EB4D4B1" w14:textId="77777777" w:rsidR="00FC046A" w:rsidRPr="00D45854" w:rsidRDefault="00FC046A">
      <w:pPr>
        <w:pStyle w:val="EndnoteText"/>
        <w:rPr>
          <w:rFonts w:ascii="Times New Roman" w:hAnsi="Times New Roman" w:cs="Times New Roman"/>
          <w:sz w:val="22"/>
          <w:szCs w:val="22"/>
        </w:rPr>
      </w:pPr>
    </w:p>
  </w:endnote>
  <w:endnote w:id="144">
    <w:p w14:paraId="0A506AAA" w14:textId="5B88C756" w:rsidR="00FC046A" w:rsidRPr="0000026A" w:rsidRDefault="00FC046A">
      <w:pPr>
        <w:pStyle w:val="EndnoteText"/>
        <w:rPr>
          <w:rFonts w:ascii="Times New Roman" w:hAnsi="Times New Roman" w:cs="Times New Roman"/>
          <w:sz w:val="22"/>
          <w:szCs w:val="22"/>
        </w:rPr>
      </w:pPr>
      <w:r w:rsidRPr="00D45854">
        <w:rPr>
          <w:rStyle w:val="EndnoteReference"/>
          <w:rFonts w:ascii="Times New Roman" w:hAnsi="Times New Roman" w:cs="Times New Roman"/>
          <w:sz w:val="22"/>
          <w:szCs w:val="22"/>
        </w:rPr>
        <w:endnoteRef/>
      </w:r>
      <w:r w:rsidRPr="00D45854">
        <w:rPr>
          <w:rFonts w:ascii="Times New Roman" w:hAnsi="Times New Roman" w:cs="Times New Roman"/>
          <w:sz w:val="22"/>
          <w:szCs w:val="22"/>
        </w:rPr>
        <w:t xml:space="preserve"> See </w:t>
      </w:r>
      <w:r>
        <w:rPr>
          <w:rFonts w:ascii="Times New Roman" w:hAnsi="Times New Roman" w:cs="Times New Roman"/>
          <w:sz w:val="22"/>
          <w:szCs w:val="22"/>
        </w:rPr>
        <w:t xml:space="preserve">Opinion at </w:t>
      </w:r>
      <w:r w:rsidRPr="00D45854">
        <w:rPr>
          <w:rFonts w:ascii="Times New Roman" w:hAnsi="Times New Roman" w:cs="Times New Roman"/>
          <w:sz w:val="22"/>
          <w:szCs w:val="22"/>
        </w:rPr>
        <w:t>11</w:t>
      </w:r>
      <w:r>
        <w:rPr>
          <w:rFonts w:ascii="Times New Roman" w:hAnsi="Times New Roman" w:cs="Times New Roman"/>
          <w:sz w:val="22"/>
          <w:szCs w:val="22"/>
        </w:rPr>
        <w:t>: “</w:t>
      </w:r>
      <w:r w:rsidRPr="00A44633">
        <w:rPr>
          <w:rFonts w:ascii="Times New Roman" w:hAnsi="Times New Roman" w:cs="Times New Roman"/>
          <w:sz w:val="22"/>
          <w:szCs w:val="22"/>
        </w:rPr>
        <w:t>In August 2009 the finalized feasibility study for Peak was issued, about nine months after the start of</w:t>
      </w:r>
      <w:r>
        <w:rPr>
          <w:rFonts w:ascii="Times New Roman" w:hAnsi="Times New Roman" w:cs="Times New Roman"/>
          <w:sz w:val="22"/>
          <w:szCs w:val="22"/>
        </w:rPr>
        <w:t xml:space="preserve"> </w:t>
      </w:r>
      <w:r w:rsidRPr="00A44633">
        <w:rPr>
          <w:rFonts w:ascii="Times New Roman" w:hAnsi="Times New Roman" w:cs="Times New Roman"/>
          <w:sz w:val="22"/>
          <w:szCs w:val="22"/>
        </w:rPr>
        <w:t>Reserve</w:t>
      </w:r>
      <w:r>
        <w:rPr>
          <w:rFonts w:ascii="Times New Roman" w:hAnsi="Times New Roman" w:cs="Times New Roman"/>
          <w:sz w:val="22"/>
          <w:szCs w:val="22"/>
        </w:rPr>
        <w:t>’</w:t>
      </w:r>
      <w:r w:rsidRPr="00A44633">
        <w:rPr>
          <w:rFonts w:ascii="Times New Roman" w:hAnsi="Times New Roman" w:cs="Times New Roman"/>
          <w:sz w:val="22"/>
          <w:szCs w:val="22"/>
        </w:rPr>
        <w:t>s operations. The background documents compiled to support the feasibility study included documents that reflected Peak</w:t>
      </w:r>
      <w:r>
        <w:rPr>
          <w:rFonts w:ascii="Times New Roman" w:hAnsi="Times New Roman" w:cs="Times New Roman"/>
          <w:sz w:val="22"/>
          <w:szCs w:val="22"/>
        </w:rPr>
        <w:t>’</w:t>
      </w:r>
      <w:r w:rsidRPr="00A44633">
        <w:rPr>
          <w:rFonts w:ascii="Times New Roman" w:hAnsi="Times New Roman" w:cs="Times New Roman"/>
          <w:sz w:val="22"/>
          <w:szCs w:val="22"/>
        </w:rPr>
        <w:t>s financial information through August 31, 2009, and the background file was updated as late as December 14, 2009.</w:t>
      </w:r>
      <w:r>
        <w:rPr>
          <w:rFonts w:ascii="Times New Roman" w:hAnsi="Times New Roman" w:cs="Times New Roman"/>
          <w:sz w:val="22"/>
          <w:szCs w:val="22"/>
        </w:rPr>
        <w:t xml:space="preserve">”  </w:t>
      </w:r>
      <w:r w:rsidRPr="007008B1">
        <w:rPr>
          <w:rFonts w:ascii="Times New Roman" w:hAnsi="Times New Roman" w:cs="Times New Roman"/>
          <w:sz w:val="22"/>
          <w:szCs w:val="22"/>
        </w:rPr>
        <w:t>The signed feasibility study issued to Peak did not reference any 2009 financial information in support of its preparation. See Exhibit 16-J (Captive Insurance Feasibility Study for Peak Mechanical &amp; Components, Inc., Initial Site Visit: August 13, 2008).  The Court wrongfully implied otherwise.</w:t>
      </w:r>
    </w:p>
    <w:p w14:paraId="4A189F80" w14:textId="77777777" w:rsidR="00FC046A" w:rsidRPr="0000026A" w:rsidRDefault="00FC046A">
      <w:pPr>
        <w:pStyle w:val="EndnoteText"/>
        <w:rPr>
          <w:rFonts w:ascii="Times New Roman" w:hAnsi="Times New Roman" w:cs="Times New Roman"/>
          <w:sz w:val="22"/>
          <w:szCs w:val="22"/>
        </w:rPr>
      </w:pPr>
    </w:p>
  </w:endnote>
  <w:endnote w:id="145">
    <w:p w14:paraId="309691F2" w14:textId="20A037D8" w:rsidR="00FC046A" w:rsidRDefault="00FC046A">
      <w:pPr>
        <w:pStyle w:val="EndnoteText"/>
        <w:rPr>
          <w:rFonts w:ascii="Times New Roman" w:hAnsi="Times New Roman" w:cs="Times New Roman"/>
          <w:sz w:val="22"/>
          <w:szCs w:val="22"/>
        </w:rPr>
      </w:pPr>
      <w:r w:rsidRPr="0000026A">
        <w:rPr>
          <w:rStyle w:val="EndnoteReference"/>
          <w:rFonts w:ascii="Times New Roman" w:hAnsi="Times New Roman" w:cs="Times New Roman"/>
          <w:sz w:val="22"/>
          <w:szCs w:val="22"/>
        </w:rPr>
        <w:endnoteRef/>
      </w:r>
      <w:r w:rsidRPr="0000026A">
        <w:rPr>
          <w:rFonts w:ascii="Times New Roman" w:hAnsi="Times New Roman" w:cs="Times New Roman"/>
          <w:sz w:val="22"/>
          <w:szCs w:val="22"/>
        </w:rPr>
        <w:t xml:space="preserve"> </w:t>
      </w:r>
      <w:r w:rsidRPr="00837695">
        <w:rPr>
          <w:rFonts w:ascii="Times New Roman" w:hAnsi="Times New Roman" w:cs="Times New Roman"/>
          <w:sz w:val="22"/>
          <w:szCs w:val="22"/>
        </w:rPr>
        <w:t xml:space="preserve">See testimony of Lance McNeel, </w:t>
      </w:r>
      <w:r>
        <w:rPr>
          <w:rFonts w:ascii="Times New Roman" w:hAnsi="Times New Roman" w:cs="Times New Roman"/>
          <w:sz w:val="22"/>
          <w:szCs w:val="22"/>
        </w:rPr>
        <w:t>Tr.</w:t>
      </w:r>
      <w:r w:rsidRPr="00837695">
        <w:rPr>
          <w:rFonts w:ascii="Times New Roman" w:hAnsi="Times New Roman" w:cs="Times New Roman"/>
          <w:sz w:val="22"/>
          <w:szCs w:val="22"/>
        </w:rPr>
        <w:t xml:space="preserve"> at 403-404, where Mr. McNeel testified that “the feasibility study was drafted a few weeks after the </w:t>
      </w:r>
      <w:r>
        <w:rPr>
          <w:rFonts w:ascii="Times New Roman" w:hAnsi="Times New Roman" w:cs="Times New Roman"/>
          <w:sz w:val="22"/>
          <w:szCs w:val="22"/>
        </w:rPr>
        <w:t xml:space="preserve">August 2008 </w:t>
      </w:r>
      <w:r w:rsidRPr="00837695">
        <w:rPr>
          <w:rFonts w:ascii="Times New Roman" w:hAnsi="Times New Roman" w:cs="Times New Roman"/>
          <w:sz w:val="22"/>
          <w:szCs w:val="22"/>
        </w:rPr>
        <w:t>site visit”</w:t>
      </w:r>
      <w:r>
        <w:rPr>
          <w:rFonts w:ascii="Times New Roman" w:hAnsi="Times New Roman" w:cs="Times New Roman"/>
          <w:sz w:val="22"/>
          <w:szCs w:val="22"/>
        </w:rPr>
        <w:t xml:space="preserve">.  </w:t>
      </w:r>
      <w:r w:rsidRPr="0000026A">
        <w:rPr>
          <w:rFonts w:ascii="Times New Roman" w:hAnsi="Times New Roman" w:cs="Times New Roman"/>
          <w:sz w:val="22"/>
          <w:szCs w:val="22"/>
        </w:rPr>
        <w:t xml:space="preserve">See </w:t>
      </w:r>
      <w:r>
        <w:rPr>
          <w:rFonts w:ascii="Times New Roman" w:hAnsi="Times New Roman" w:cs="Times New Roman"/>
          <w:sz w:val="22"/>
          <w:szCs w:val="22"/>
        </w:rPr>
        <w:t xml:space="preserve">also </w:t>
      </w:r>
      <w:r w:rsidRPr="0000026A">
        <w:rPr>
          <w:rFonts w:ascii="Times New Roman" w:hAnsi="Times New Roman" w:cs="Times New Roman"/>
          <w:sz w:val="22"/>
          <w:szCs w:val="22"/>
        </w:rPr>
        <w:t xml:space="preserve">testimony of Lance McNeel, </w:t>
      </w:r>
      <w:r>
        <w:rPr>
          <w:rFonts w:ascii="Times New Roman" w:hAnsi="Times New Roman" w:cs="Times New Roman"/>
          <w:sz w:val="22"/>
          <w:szCs w:val="22"/>
        </w:rPr>
        <w:t>Tr.</w:t>
      </w:r>
      <w:r w:rsidRPr="0000026A">
        <w:rPr>
          <w:rFonts w:ascii="Times New Roman" w:hAnsi="Times New Roman" w:cs="Times New Roman"/>
          <w:sz w:val="22"/>
          <w:szCs w:val="22"/>
        </w:rPr>
        <w:t xml:space="preserve"> at 313</w:t>
      </w:r>
      <w:r>
        <w:rPr>
          <w:rFonts w:ascii="Times New Roman" w:hAnsi="Times New Roman" w:cs="Times New Roman"/>
          <w:sz w:val="22"/>
          <w:szCs w:val="22"/>
        </w:rPr>
        <w:t xml:space="preserve">, </w:t>
      </w:r>
      <w:r w:rsidRPr="0000026A">
        <w:rPr>
          <w:rFonts w:ascii="Times New Roman" w:hAnsi="Times New Roman" w:cs="Times New Roman"/>
          <w:sz w:val="22"/>
          <w:szCs w:val="22"/>
        </w:rPr>
        <w:t>380-385.</w:t>
      </w:r>
    </w:p>
    <w:p w14:paraId="3D8B1FD4" w14:textId="77777777" w:rsidR="00FC046A" w:rsidRPr="0000026A" w:rsidRDefault="00FC046A">
      <w:pPr>
        <w:pStyle w:val="EndnoteText"/>
        <w:rPr>
          <w:rFonts w:ascii="Times New Roman" w:hAnsi="Times New Roman" w:cs="Times New Roman"/>
          <w:sz w:val="22"/>
          <w:szCs w:val="22"/>
        </w:rPr>
      </w:pPr>
    </w:p>
  </w:endnote>
  <w:endnote w:id="146">
    <w:p w14:paraId="1B69BD32" w14:textId="312DA463" w:rsidR="00FC046A" w:rsidRPr="009142E6" w:rsidRDefault="00FC046A">
      <w:pPr>
        <w:pStyle w:val="EndnoteText"/>
        <w:rPr>
          <w:rFonts w:ascii="Times New Roman" w:hAnsi="Times New Roman" w:cs="Times New Roman"/>
          <w:sz w:val="22"/>
          <w:szCs w:val="22"/>
        </w:rPr>
      </w:pPr>
      <w:r w:rsidRPr="009142E6">
        <w:rPr>
          <w:rStyle w:val="EndnoteReference"/>
          <w:rFonts w:ascii="Times New Roman" w:hAnsi="Times New Roman" w:cs="Times New Roman"/>
          <w:sz w:val="22"/>
          <w:szCs w:val="22"/>
        </w:rPr>
        <w:endnoteRef/>
      </w:r>
      <w:r w:rsidRPr="009142E6">
        <w:rPr>
          <w:rFonts w:ascii="Times New Roman" w:hAnsi="Times New Roman" w:cs="Times New Roman"/>
          <w:sz w:val="22"/>
          <w:szCs w:val="22"/>
        </w:rPr>
        <w:t xml:space="preserve"> </w:t>
      </w:r>
      <w:r>
        <w:rPr>
          <w:rFonts w:ascii="Times New Roman" w:hAnsi="Times New Roman" w:cs="Times New Roman"/>
          <w:sz w:val="22"/>
          <w:szCs w:val="22"/>
        </w:rPr>
        <w:t xml:space="preserve">Opinion at 11. </w:t>
      </w:r>
    </w:p>
    <w:p w14:paraId="428BD731" w14:textId="77777777" w:rsidR="00FC046A" w:rsidRDefault="00FC046A">
      <w:pPr>
        <w:pStyle w:val="EndnoteText"/>
      </w:pPr>
    </w:p>
  </w:endnote>
  <w:endnote w:id="147">
    <w:p w14:paraId="59C344AB" w14:textId="00DE6C83" w:rsidR="00FC046A" w:rsidRDefault="00FC046A" w:rsidP="006844D7">
      <w:pPr>
        <w:pStyle w:val="EndnoteText"/>
        <w:rPr>
          <w:rFonts w:ascii="Times New Roman" w:hAnsi="Times New Roman" w:cs="Times New Roman"/>
          <w:sz w:val="22"/>
          <w:szCs w:val="22"/>
        </w:rPr>
      </w:pPr>
      <w:r w:rsidRPr="0000026A">
        <w:rPr>
          <w:rStyle w:val="EndnoteReference"/>
          <w:rFonts w:ascii="Times New Roman" w:hAnsi="Times New Roman" w:cs="Times New Roman"/>
          <w:sz w:val="22"/>
          <w:szCs w:val="22"/>
        </w:rPr>
        <w:endnoteRef/>
      </w:r>
      <w:r w:rsidRPr="0000026A">
        <w:rPr>
          <w:rFonts w:ascii="Times New Roman" w:hAnsi="Times New Roman" w:cs="Times New Roman"/>
          <w:sz w:val="22"/>
          <w:szCs w:val="22"/>
        </w:rPr>
        <w:t xml:space="preserve"> </w:t>
      </w:r>
      <w:r>
        <w:rPr>
          <w:rFonts w:ascii="Times New Roman" w:hAnsi="Times New Roman" w:cs="Times New Roman"/>
          <w:sz w:val="22"/>
          <w:szCs w:val="22"/>
        </w:rPr>
        <w:t xml:space="preserve">Opinion at </w:t>
      </w:r>
      <w:r w:rsidRPr="0000026A">
        <w:rPr>
          <w:rFonts w:ascii="Times New Roman" w:hAnsi="Times New Roman" w:cs="Times New Roman"/>
          <w:sz w:val="22"/>
          <w:szCs w:val="22"/>
        </w:rPr>
        <w:t>57</w:t>
      </w:r>
      <w:r>
        <w:rPr>
          <w:rFonts w:ascii="Times New Roman" w:hAnsi="Times New Roman" w:cs="Times New Roman"/>
          <w:sz w:val="22"/>
          <w:szCs w:val="22"/>
        </w:rPr>
        <w:t xml:space="preserve">: </w:t>
      </w:r>
      <w:r w:rsidRPr="0000026A">
        <w:rPr>
          <w:rFonts w:ascii="Times New Roman" w:hAnsi="Times New Roman" w:cs="Times New Roman"/>
          <w:sz w:val="22"/>
          <w:szCs w:val="22"/>
        </w:rPr>
        <w:t>“Peak itself did not engage in mining practices that spread pollutants, and it already had</w:t>
      </w:r>
      <w:r w:rsidRPr="00681E73">
        <w:rPr>
          <w:rFonts w:ascii="Times New Roman" w:hAnsi="Times New Roman" w:cs="Times New Roman"/>
          <w:sz w:val="22"/>
          <w:szCs w:val="22"/>
        </w:rPr>
        <w:t xml:space="preserve"> systems in place to control the fluid runoff when it cleaned equipment used in polluted mines. In 2008 Peak had operated in Osburn continuously for over 10</w:t>
      </w:r>
      <w:r>
        <w:rPr>
          <w:rFonts w:ascii="Times New Roman" w:hAnsi="Times New Roman" w:cs="Times New Roman"/>
          <w:sz w:val="22"/>
          <w:szCs w:val="22"/>
        </w:rPr>
        <w:t xml:space="preserve">  </w:t>
      </w:r>
      <w:r w:rsidRPr="00681E73">
        <w:rPr>
          <w:rFonts w:ascii="Times New Roman" w:hAnsi="Times New Roman" w:cs="Times New Roman"/>
          <w:sz w:val="22"/>
          <w:szCs w:val="22"/>
        </w:rPr>
        <w:t>years. Reserve provided no evidence that Peak had ever incurred costs during that time for excess pollution liability.”</w:t>
      </w:r>
      <w:r>
        <w:rPr>
          <w:rFonts w:ascii="Times New Roman" w:hAnsi="Times New Roman" w:cs="Times New Roman"/>
          <w:sz w:val="22"/>
          <w:szCs w:val="22"/>
        </w:rPr>
        <w:t xml:space="preserve">   The Court brushed aside the fact that Peak’s operations were physically located in a Superfund site and that Peak’s captive feasibility study stated as follows: “</w:t>
      </w:r>
      <w:r w:rsidRPr="006844D7">
        <w:rPr>
          <w:rFonts w:ascii="Times New Roman" w:hAnsi="Times New Roman" w:cs="Times New Roman"/>
          <w:sz w:val="22"/>
          <w:szCs w:val="22"/>
        </w:rPr>
        <w:t>A major risk</w:t>
      </w:r>
      <w:r>
        <w:rPr>
          <w:rFonts w:ascii="Times New Roman" w:hAnsi="Times New Roman" w:cs="Times New Roman"/>
          <w:sz w:val="22"/>
          <w:szCs w:val="22"/>
        </w:rPr>
        <w:t xml:space="preserve"> </w:t>
      </w:r>
      <w:r w:rsidRPr="006844D7">
        <w:rPr>
          <w:rFonts w:ascii="Times New Roman" w:hAnsi="Times New Roman" w:cs="Times New Roman"/>
          <w:sz w:val="22"/>
          <w:szCs w:val="22"/>
        </w:rPr>
        <w:t>exposure is pollution liability which is excluded from all underlying policies. In</w:t>
      </w:r>
      <w:r>
        <w:rPr>
          <w:rFonts w:ascii="Times New Roman" w:hAnsi="Times New Roman" w:cs="Times New Roman"/>
          <w:sz w:val="22"/>
          <w:szCs w:val="22"/>
        </w:rPr>
        <w:t xml:space="preserve"> </w:t>
      </w:r>
      <w:r w:rsidRPr="006844D7">
        <w:rPr>
          <w:rFonts w:ascii="Times New Roman" w:hAnsi="Times New Roman" w:cs="Times New Roman"/>
          <w:sz w:val="22"/>
          <w:szCs w:val="22"/>
        </w:rPr>
        <w:t>addition to the pollution risk of its own manufacturing and remanufacturing operations, there</w:t>
      </w:r>
      <w:r>
        <w:rPr>
          <w:rFonts w:ascii="Times New Roman" w:hAnsi="Times New Roman" w:cs="Times New Roman"/>
          <w:sz w:val="22"/>
          <w:szCs w:val="22"/>
        </w:rPr>
        <w:t xml:space="preserve"> </w:t>
      </w:r>
      <w:r w:rsidRPr="006844D7">
        <w:rPr>
          <w:rFonts w:ascii="Times New Roman" w:hAnsi="Times New Roman" w:cs="Times New Roman"/>
          <w:sz w:val="22"/>
          <w:szCs w:val="22"/>
        </w:rPr>
        <w:t>is an indeterminable pollution risk with its mining and other underground products should</w:t>
      </w:r>
      <w:r>
        <w:rPr>
          <w:rFonts w:ascii="Times New Roman" w:hAnsi="Times New Roman" w:cs="Times New Roman"/>
          <w:sz w:val="22"/>
          <w:szCs w:val="22"/>
        </w:rPr>
        <w:t xml:space="preserve"> </w:t>
      </w:r>
      <w:r w:rsidRPr="006844D7">
        <w:rPr>
          <w:rFonts w:ascii="Times New Roman" w:hAnsi="Times New Roman" w:cs="Times New Roman"/>
          <w:sz w:val="22"/>
          <w:szCs w:val="22"/>
        </w:rPr>
        <w:t>a product failure be the catalyst for a pollution incident at a customer's work site.</w:t>
      </w:r>
      <w:r>
        <w:rPr>
          <w:rFonts w:ascii="Times New Roman" w:hAnsi="Times New Roman" w:cs="Times New Roman"/>
          <w:sz w:val="22"/>
          <w:szCs w:val="22"/>
        </w:rPr>
        <w:t>”  See Exhibit 16-J at 20.</w:t>
      </w:r>
    </w:p>
    <w:p w14:paraId="332E377A" w14:textId="77777777" w:rsidR="00FC046A" w:rsidRDefault="00FC046A" w:rsidP="004578E9">
      <w:pPr>
        <w:pStyle w:val="EndnoteText"/>
        <w:rPr>
          <w:rFonts w:ascii="Times New Roman" w:hAnsi="Times New Roman" w:cs="Times New Roman"/>
          <w:sz w:val="22"/>
          <w:szCs w:val="22"/>
        </w:rPr>
      </w:pPr>
    </w:p>
    <w:p w14:paraId="0F13179E" w14:textId="6E967F6C" w:rsidR="00FC046A" w:rsidRDefault="00FC046A" w:rsidP="004578E9">
      <w:pPr>
        <w:pStyle w:val="EndnoteText"/>
        <w:rPr>
          <w:rFonts w:ascii="Times New Roman" w:hAnsi="Times New Roman" w:cs="Times New Roman"/>
          <w:sz w:val="22"/>
          <w:szCs w:val="22"/>
        </w:rPr>
      </w:pPr>
      <w:r>
        <w:rPr>
          <w:rFonts w:ascii="Times New Roman" w:hAnsi="Times New Roman" w:cs="Times New Roman"/>
          <w:sz w:val="22"/>
          <w:szCs w:val="22"/>
        </w:rPr>
        <w:t xml:space="preserve">A summary of each of the direct written polices underwritten by Reserve for each of 2008-10 is within Exhibit 35-J (Direct Written Policy Schedule for 2008), Exhibit 59-J (Direct Written Policy Schedule for 2009), and </w:t>
      </w:r>
      <w:r w:rsidRPr="00C5122F">
        <w:rPr>
          <w:rFonts w:ascii="Times New Roman" w:hAnsi="Times New Roman" w:cs="Times New Roman"/>
          <w:sz w:val="22"/>
          <w:szCs w:val="22"/>
        </w:rPr>
        <w:t xml:space="preserve">Exhibit </w:t>
      </w:r>
      <w:r>
        <w:rPr>
          <w:rFonts w:ascii="Times New Roman" w:hAnsi="Times New Roman" w:cs="Times New Roman"/>
          <w:sz w:val="22"/>
          <w:szCs w:val="22"/>
        </w:rPr>
        <w:t>74</w:t>
      </w:r>
      <w:r w:rsidRPr="00C5122F">
        <w:rPr>
          <w:rFonts w:ascii="Times New Roman" w:hAnsi="Times New Roman" w:cs="Times New Roman"/>
          <w:sz w:val="22"/>
          <w:szCs w:val="22"/>
        </w:rPr>
        <w:t>-J (Direct Written Policy Schedule for 20</w:t>
      </w:r>
      <w:r>
        <w:rPr>
          <w:rFonts w:ascii="Times New Roman" w:hAnsi="Times New Roman" w:cs="Times New Roman"/>
          <w:sz w:val="22"/>
          <w:szCs w:val="22"/>
        </w:rPr>
        <w:t>10</w:t>
      </w:r>
      <w:r w:rsidRPr="00C5122F">
        <w:rPr>
          <w:rFonts w:ascii="Times New Roman" w:hAnsi="Times New Roman" w:cs="Times New Roman"/>
          <w:sz w:val="22"/>
          <w:szCs w:val="22"/>
        </w:rPr>
        <w:t>)</w:t>
      </w:r>
      <w:r>
        <w:rPr>
          <w:rFonts w:ascii="Times New Roman" w:hAnsi="Times New Roman" w:cs="Times New Roman"/>
          <w:sz w:val="22"/>
          <w:szCs w:val="22"/>
        </w:rPr>
        <w:t xml:space="preserve">.  Copies of each policy issued for 2008 can be found at Exhibit 36-J through Exhibit 48-J; for </w:t>
      </w:r>
      <w:r w:rsidRPr="008A0AAE">
        <w:rPr>
          <w:rFonts w:ascii="Times New Roman" w:hAnsi="Times New Roman" w:cs="Times New Roman"/>
          <w:sz w:val="22"/>
          <w:szCs w:val="22"/>
        </w:rPr>
        <w:t>200</w:t>
      </w:r>
      <w:r>
        <w:rPr>
          <w:rFonts w:ascii="Times New Roman" w:hAnsi="Times New Roman" w:cs="Times New Roman"/>
          <w:sz w:val="22"/>
          <w:szCs w:val="22"/>
        </w:rPr>
        <w:t>9</w:t>
      </w:r>
      <w:r w:rsidRPr="008A0AAE">
        <w:rPr>
          <w:rFonts w:ascii="Times New Roman" w:hAnsi="Times New Roman" w:cs="Times New Roman"/>
          <w:sz w:val="22"/>
          <w:szCs w:val="22"/>
        </w:rPr>
        <w:t xml:space="preserve"> at Exhibit </w:t>
      </w:r>
      <w:r>
        <w:rPr>
          <w:rFonts w:ascii="Times New Roman" w:hAnsi="Times New Roman" w:cs="Times New Roman"/>
          <w:sz w:val="22"/>
          <w:szCs w:val="22"/>
        </w:rPr>
        <w:t>60</w:t>
      </w:r>
      <w:r w:rsidRPr="008A0AAE">
        <w:rPr>
          <w:rFonts w:ascii="Times New Roman" w:hAnsi="Times New Roman" w:cs="Times New Roman"/>
          <w:sz w:val="22"/>
          <w:szCs w:val="22"/>
        </w:rPr>
        <w:t xml:space="preserve">-J through Exhibit </w:t>
      </w:r>
      <w:r>
        <w:rPr>
          <w:rFonts w:ascii="Times New Roman" w:hAnsi="Times New Roman" w:cs="Times New Roman"/>
          <w:sz w:val="22"/>
          <w:szCs w:val="22"/>
        </w:rPr>
        <w:t>70</w:t>
      </w:r>
      <w:r w:rsidRPr="008A0AAE">
        <w:rPr>
          <w:rFonts w:ascii="Times New Roman" w:hAnsi="Times New Roman" w:cs="Times New Roman"/>
          <w:sz w:val="22"/>
          <w:szCs w:val="22"/>
        </w:rPr>
        <w:t>-J</w:t>
      </w:r>
      <w:r>
        <w:rPr>
          <w:rFonts w:ascii="Times New Roman" w:hAnsi="Times New Roman" w:cs="Times New Roman"/>
          <w:sz w:val="22"/>
          <w:szCs w:val="22"/>
        </w:rPr>
        <w:t xml:space="preserve">; and for 2010 </w:t>
      </w:r>
      <w:r w:rsidRPr="00735420">
        <w:rPr>
          <w:rFonts w:ascii="Times New Roman" w:hAnsi="Times New Roman" w:cs="Times New Roman"/>
          <w:sz w:val="22"/>
          <w:szCs w:val="22"/>
        </w:rPr>
        <w:t xml:space="preserve">at Exhibit </w:t>
      </w:r>
      <w:r>
        <w:rPr>
          <w:rFonts w:ascii="Times New Roman" w:hAnsi="Times New Roman" w:cs="Times New Roman"/>
          <w:sz w:val="22"/>
          <w:szCs w:val="22"/>
        </w:rPr>
        <w:t>75</w:t>
      </w:r>
      <w:r w:rsidRPr="00735420">
        <w:rPr>
          <w:rFonts w:ascii="Times New Roman" w:hAnsi="Times New Roman" w:cs="Times New Roman"/>
          <w:sz w:val="22"/>
          <w:szCs w:val="22"/>
        </w:rPr>
        <w:t xml:space="preserve">-J through Exhibit </w:t>
      </w:r>
      <w:r>
        <w:rPr>
          <w:rFonts w:ascii="Times New Roman" w:hAnsi="Times New Roman" w:cs="Times New Roman"/>
          <w:sz w:val="22"/>
          <w:szCs w:val="22"/>
        </w:rPr>
        <w:t>85</w:t>
      </w:r>
      <w:r w:rsidRPr="00735420">
        <w:rPr>
          <w:rFonts w:ascii="Times New Roman" w:hAnsi="Times New Roman" w:cs="Times New Roman"/>
          <w:sz w:val="22"/>
          <w:szCs w:val="22"/>
        </w:rPr>
        <w:t>-J</w:t>
      </w:r>
      <w:r>
        <w:rPr>
          <w:rFonts w:ascii="Times New Roman" w:hAnsi="Times New Roman" w:cs="Times New Roman"/>
          <w:sz w:val="22"/>
          <w:szCs w:val="22"/>
        </w:rPr>
        <w:t>, with revised exhibits for certain polices found at Exhibit 149-J through Exhibit 153-J</w:t>
      </w:r>
      <w:r w:rsidRPr="00735420">
        <w:rPr>
          <w:rFonts w:ascii="Times New Roman" w:hAnsi="Times New Roman" w:cs="Times New Roman"/>
          <w:sz w:val="22"/>
          <w:szCs w:val="22"/>
        </w:rPr>
        <w:t>.</w:t>
      </w:r>
      <w:r>
        <w:rPr>
          <w:rFonts w:ascii="Times New Roman" w:hAnsi="Times New Roman" w:cs="Times New Roman"/>
          <w:sz w:val="22"/>
          <w:szCs w:val="22"/>
        </w:rPr>
        <w:t xml:space="preserve">  The significant risks not adequately covered by commercial insurance policies were identified in Peak’s feasibility study and are described in </w:t>
      </w:r>
      <w:r w:rsidRPr="009430B1">
        <w:rPr>
          <w:rFonts w:ascii="Times New Roman" w:hAnsi="Times New Roman" w:cs="Times New Roman"/>
          <w:sz w:val="22"/>
          <w:szCs w:val="22"/>
        </w:rPr>
        <w:t xml:space="preserve">Exhibit 16-J (Captive Insurance Feasibility Study for Peak Mechanical &amp; Components, Inc., Initial Site Visit: August 13, 2008), </w:t>
      </w:r>
      <w:r>
        <w:rPr>
          <w:rFonts w:ascii="Times New Roman" w:hAnsi="Times New Roman" w:cs="Times New Roman"/>
          <w:sz w:val="22"/>
          <w:szCs w:val="22"/>
        </w:rPr>
        <w:t xml:space="preserve">at </w:t>
      </w:r>
      <w:r w:rsidRPr="009430B1">
        <w:rPr>
          <w:rFonts w:ascii="Times New Roman" w:hAnsi="Times New Roman" w:cs="Times New Roman"/>
          <w:sz w:val="22"/>
          <w:szCs w:val="22"/>
        </w:rPr>
        <w:t>1</w:t>
      </w:r>
      <w:r>
        <w:rPr>
          <w:rFonts w:ascii="Times New Roman" w:hAnsi="Times New Roman" w:cs="Times New Roman"/>
          <w:sz w:val="22"/>
          <w:szCs w:val="22"/>
        </w:rPr>
        <w:t>9-21, “Other Risk Management Issues.”</w:t>
      </w:r>
    </w:p>
    <w:p w14:paraId="6A7DC922" w14:textId="77777777" w:rsidR="00FC046A" w:rsidRPr="002059EE" w:rsidRDefault="00FC046A" w:rsidP="004578E9">
      <w:pPr>
        <w:pStyle w:val="EndnoteText"/>
        <w:rPr>
          <w:rFonts w:ascii="Times New Roman" w:hAnsi="Times New Roman" w:cs="Times New Roman"/>
          <w:sz w:val="22"/>
          <w:szCs w:val="22"/>
        </w:rPr>
      </w:pPr>
    </w:p>
  </w:endnote>
  <w:endnote w:id="148">
    <w:p w14:paraId="46CC5B04" w14:textId="0D03E1B3" w:rsidR="00FC046A" w:rsidRDefault="00FC046A" w:rsidP="00E86C25">
      <w:pPr>
        <w:pStyle w:val="EndnoteText"/>
        <w:rPr>
          <w:rFonts w:ascii="Times New Roman" w:hAnsi="Times New Roman" w:cs="Times New Roman"/>
          <w:sz w:val="22"/>
          <w:szCs w:val="22"/>
        </w:rPr>
      </w:pPr>
      <w:r w:rsidRPr="006D57E6">
        <w:rPr>
          <w:rStyle w:val="EndnoteReference"/>
          <w:rFonts w:ascii="Times New Roman" w:hAnsi="Times New Roman" w:cs="Times New Roman"/>
          <w:sz w:val="22"/>
          <w:szCs w:val="22"/>
        </w:rPr>
        <w:endnoteRef/>
      </w:r>
      <w:r w:rsidRPr="006D57E6">
        <w:rPr>
          <w:rFonts w:ascii="Times New Roman" w:hAnsi="Times New Roman" w:cs="Times New Roman"/>
          <w:sz w:val="22"/>
          <w:szCs w:val="22"/>
        </w:rPr>
        <w:t xml:space="preserve"> </w:t>
      </w:r>
      <w:r w:rsidRPr="00E86C25">
        <w:rPr>
          <w:rFonts w:ascii="Times New Roman" w:hAnsi="Times New Roman" w:cs="Times New Roman"/>
          <w:sz w:val="22"/>
          <w:szCs w:val="22"/>
        </w:rPr>
        <w:t>Pub. Law No. 96-510, 94 Stat. 2767 (1980) (</w:t>
      </w:r>
      <w:bookmarkStart w:id="10" w:name="_Hlk524352730"/>
      <w:r w:rsidRPr="00E86C25">
        <w:rPr>
          <w:rFonts w:ascii="Times New Roman" w:hAnsi="Times New Roman" w:cs="Times New Roman"/>
          <w:sz w:val="22"/>
          <w:szCs w:val="22"/>
        </w:rPr>
        <w:t>codified as amended at 42 U.S.C. §§ 9601-9675 (2000)</w:t>
      </w:r>
      <w:bookmarkEnd w:id="10"/>
      <w:r w:rsidRPr="00E86C25">
        <w:rPr>
          <w:rFonts w:ascii="Times New Roman" w:hAnsi="Times New Roman" w:cs="Times New Roman"/>
          <w:sz w:val="22"/>
          <w:szCs w:val="22"/>
        </w:rPr>
        <w:t xml:space="preserve">). CERCLA </w:t>
      </w:r>
      <w:r>
        <w:rPr>
          <w:rFonts w:ascii="Times New Roman" w:hAnsi="Times New Roman" w:cs="Times New Roman"/>
          <w:sz w:val="22"/>
          <w:szCs w:val="22"/>
        </w:rPr>
        <w:t>(</w:t>
      </w:r>
      <w:r w:rsidRPr="00E86C25">
        <w:rPr>
          <w:rFonts w:ascii="Times New Roman" w:hAnsi="Times New Roman" w:cs="Times New Roman"/>
          <w:sz w:val="22"/>
          <w:szCs w:val="22"/>
        </w:rPr>
        <w:t xml:space="preserve">sometimes referred to as the </w:t>
      </w:r>
      <w:r>
        <w:rPr>
          <w:rFonts w:ascii="Times New Roman" w:hAnsi="Times New Roman" w:cs="Times New Roman"/>
          <w:sz w:val="22"/>
          <w:szCs w:val="22"/>
        </w:rPr>
        <w:t>“</w:t>
      </w:r>
      <w:r w:rsidRPr="00E86C25">
        <w:rPr>
          <w:rFonts w:ascii="Times New Roman" w:hAnsi="Times New Roman" w:cs="Times New Roman"/>
          <w:sz w:val="22"/>
          <w:szCs w:val="22"/>
        </w:rPr>
        <w:t>Superfund</w:t>
      </w:r>
      <w:r>
        <w:rPr>
          <w:rFonts w:ascii="Times New Roman" w:hAnsi="Times New Roman" w:cs="Times New Roman"/>
          <w:sz w:val="22"/>
          <w:szCs w:val="22"/>
        </w:rPr>
        <w:t>”</w:t>
      </w:r>
      <w:r w:rsidRPr="00E86C25">
        <w:rPr>
          <w:rFonts w:ascii="Times New Roman" w:hAnsi="Times New Roman" w:cs="Times New Roman"/>
          <w:sz w:val="22"/>
          <w:szCs w:val="22"/>
        </w:rPr>
        <w:t xml:space="preserve"> statute</w:t>
      </w:r>
      <w:r>
        <w:rPr>
          <w:rFonts w:ascii="Times New Roman" w:hAnsi="Times New Roman" w:cs="Times New Roman"/>
          <w:sz w:val="22"/>
          <w:szCs w:val="22"/>
        </w:rPr>
        <w:t xml:space="preserve">) </w:t>
      </w:r>
      <w:r w:rsidRPr="00E86C25">
        <w:rPr>
          <w:rFonts w:ascii="Times New Roman" w:hAnsi="Times New Roman" w:cs="Times New Roman"/>
          <w:sz w:val="22"/>
          <w:szCs w:val="22"/>
        </w:rPr>
        <w:t>refers to</w:t>
      </w:r>
      <w:r>
        <w:rPr>
          <w:rFonts w:ascii="Times New Roman" w:hAnsi="Times New Roman" w:cs="Times New Roman"/>
          <w:sz w:val="22"/>
          <w:szCs w:val="22"/>
        </w:rPr>
        <w:t xml:space="preserve"> </w:t>
      </w:r>
      <w:r w:rsidRPr="00E86C25">
        <w:rPr>
          <w:rFonts w:ascii="Times New Roman" w:hAnsi="Times New Roman" w:cs="Times New Roman"/>
          <w:sz w:val="22"/>
          <w:szCs w:val="22"/>
        </w:rPr>
        <w:t xml:space="preserve">cleanup costs incurred in response to the release of hazardous substances as </w:t>
      </w:r>
      <w:r>
        <w:rPr>
          <w:rFonts w:ascii="Times New Roman" w:hAnsi="Times New Roman" w:cs="Times New Roman"/>
          <w:sz w:val="22"/>
          <w:szCs w:val="22"/>
        </w:rPr>
        <w:t>“</w:t>
      </w:r>
      <w:r w:rsidRPr="00E86C25">
        <w:rPr>
          <w:rFonts w:ascii="Times New Roman" w:hAnsi="Times New Roman" w:cs="Times New Roman"/>
          <w:sz w:val="22"/>
          <w:szCs w:val="22"/>
        </w:rPr>
        <w:t>response costs.</w:t>
      </w:r>
      <w:r>
        <w:rPr>
          <w:rFonts w:ascii="Times New Roman" w:hAnsi="Times New Roman" w:cs="Times New Roman"/>
          <w:sz w:val="22"/>
          <w:szCs w:val="22"/>
        </w:rPr>
        <w:t>”</w:t>
      </w:r>
      <w:r w:rsidRPr="00E86C25">
        <w:rPr>
          <w:rFonts w:ascii="Times New Roman" w:hAnsi="Times New Roman" w:cs="Times New Roman"/>
          <w:sz w:val="22"/>
          <w:szCs w:val="22"/>
        </w:rPr>
        <w:t xml:space="preserve"> 42</w:t>
      </w:r>
      <w:r>
        <w:rPr>
          <w:rFonts w:ascii="Times New Roman" w:hAnsi="Times New Roman" w:cs="Times New Roman"/>
          <w:sz w:val="22"/>
          <w:szCs w:val="22"/>
        </w:rPr>
        <w:t xml:space="preserve"> </w:t>
      </w:r>
      <w:r w:rsidRPr="00E86C25">
        <w:rPr>
          <w:rFonts w:ascii="Times New Roman" w:hAnsi="Times New Roman" w:cs="Times New Roman"/>
          <w:sz w:val="22"/>
          <w:szCs w:val="22"/>
        </w:rPr>
        <w:t xml:space="preserve">U.S.C. § 9607(a)(4). </w:t>
      </w:r>
      <w:r>
        <w:rPr>
          <w:rFonts w:ascii="Times New Roman" w:hAnsi="Times New Roman" w:cs="Times New Roman"/>
          <w:sz w:val="22"/>
          <w:szCs w:val="22"/>
        </w:rPr>
        <w:t xml:space="preserve"> </w:t>
      </w:r>
      <w:r w:rsidRPr="00E86C25">
        <w:rPr>
          <w:rFonts w:ascii="Times New Roman" w:hAnsi="Times New Roman" w:cs="Times New Roman"/>
          <w:sz w:val="22"/>
          <w:szCs w:val="22"/>
        </w:rPr>
        <w:t>A</w:t>
      </w:r>
      <w:r>
        <w:rPr>
          <w:rFonts w:ascii="Times New Roman" w:hAnsi="Times New Roman" w:cs="Times New Roman"/>
          <w:sz w:val="22"/>
          <w:szCs w:val="22"/>
        </w:rPr>
        <w:t xml:space="preserve"> “potentially responsible party” or “</w:t>
      </w:r>
      <w:r w:rsidRPr="00E86C25">
        <w:rPr>
          <w:rFonts w:ascii="Times New Roman" w:hAnsi="Times New Roman" w:cs="Times New Roman"/>
          <w:sz w:val="22"/>
          <w:szCs w:val="22"/>
        </w:rPr>
        <w:t>PRP</w:t>
      </w:r>
      <w:r>
        <w:rPr>
          <w:rFonts w:ascii="Times New Roman" w:hAnsi="Times New Roman" w:cs="Times New Roman"/>
          <w:sz w:val="22"/>
          <w:szCs w:val="22"/>
        </w:rPr>
        <w:t>”</w:t>
      </w:r>
      <w:r w:rsidRPr="00E86C25">
        <w:rPr>
          <w:rFonts w:ascii="Times New Roman" w:hAnsi="Times New Roman" w:cs="Times New Roman"/>
          <w:sz w:val="22"/>
          <w:szCs w:val="22"/>
        </w:rPr>
        <w:t xml:space="preserve"> under CERCLA is a person who fits within one of the four</w:t>
      </w:r>
      <w:r>
        <w:rPr>
          <w:rFonts w:ascii="Times New Roman" w:hAnsi="Times New Roman" w:cs="Times New Roman"/>
          <w:sz w:val="22"/>
          <w:szCs w:val="22"/>
        </w:rPr>
        <w:t xml:space="preserve"> </w:t>
      </w:r>
      <w:r w:rsidRPr="00E86C25">
        <w:rPr>
          <w:rFonts w:ascii="Times New Roman" w:hAnsi="Times New Roman" w:cs="Times New Roman"/>
          <w:sz w:val="22"/>
          <w:szCs w:val="22"/>
        </w:rPr>
        <w:t>categories of</w:t>
      </w:r>
      <w:r>
        <w:rPr>
          <w:rFonts w:ascii="Times New Roman" w:hAnsi="Times New Roman" w:cs="Times New Roman"/>
          <w:sz w:val="22"/>
          <w:szCs w:val="22"/>
        </w:rPr>
        <w:t xml:space="preserve"> “</w:t>
      </w:r>
      <w:r w:rsidRPr="00E86C25">
        <w:rPr>
          <w:rFonts w:ascii="Times New Roman" w:hAnsi="Times New Roman" w:cs="Times New Roman"/>
          <w:sz w:val="22"/>
          <w:szCs w:val="22"/>
        </w:rPr>
        <w:t>covered persons</w:t>
      </w:r>
      <w:r>
        <w:rPr>
          <w:rFonts w:ascii="Times New Roman" w:hAnsi="Times New Roman" w:cs="Times New Roman"/>
          <w:sz w:val="22"/>
          <w:szCs w:val="22"/>
        </w:rPr>
        <w:t>”</w:t>
      </w:r>
      <w:r w:rsidRPr="00E86C25">
        <w:rPr>
          <w:rFonts w:ascii="Times New Roman" w:hAnsi="Times New Roman" w:cs="Times New Roman"/>
          <w:sz w:val="22"/>
          <w:szCs w:val="22"/>
        </w:rPr>
        <w:t xml:space="preserve"> set forth in CERCLA section 107(a)(1)-(4), 42 U.S.C. §9607(a)(1)-(4)</w:t>
      </w:r>
      <w:r>
        <w:rPr>
          <w:rFonts w:ascii="Times New Roman" w:hAnsi="Times New Roman" w:cs="Times New Roman"/>
          <w:sz w:val="22"/>
          <w:szCs w:val="22"/>
        </w:rPr>
        <w:t>.</w:t>
      </w:r>
    </w:p>
    <w:p w14:paraId="28CC78A1" w14:textId="77777777" w:rsidR="00FC046A" w:rsidRPr="00906404" w:rsidRDefault="00FC046A">
      <w:pPr>
        <w:pStyle w:val="EndnoteText"/>
        <w:rPr>
          <w:rFonts w:ascii="Times New Roman" w:hAnsi="Times New Roman" w:cs="Times New Roman"/>
          <w:sz w:val="22"/>
          <w:szCs w:val="22"/>
        </w:rPr>
      </w:pPr>
    </w:p>
  </w:endnote>
  <w:endnote w:id="149">
    <w:p w14:paraId="473C799A" w14:textId="7A524253" w:rsidR="00FC046A" w:rsidRPr="00906404" w:rsidRDefault="00FC046A">
      <w:pPr>
        <w:pStyle w:val="EndnoteText"/>
        <w:rPr>
          <w:rFonts w:ascii="Times New Roman" w:hAnsi="Times New Roman" w:cs="Times New Roman"/>
          <w:sz w:val="22"/>
          <w:szCs w:val="22"/>
        </w:rPr>
      </w:pPr>
      <w:r w:rsidRPr="00906404">
        <w:rPr>
          <w:rStyle w:val="EndnoteReference"/>
          <w:rFonts w:ascii="Times New Roman" w:hAnsi="Times New Roman" w:cs="Times New Roman"/>
          <w:sz w:val="22"/>
          <w:szCs w:val="22"/>
        </w:rPr>
        <w:endnoteRef/>
      </w:r>
      <w:r w:rsidRPr="00906404">
        <w:rPr>
          <w:rFonts w:ascii="Times New Roman" w:hAnsi="Times New Roman" w:cs="Times New Roman"/>
          <w:sz w:val="22"/>
          <w:szCs w:val="22"/>
        </w:rPr>
        <w:t xml:space="preserve"> </w:t>
      </w:r>
      <w:r>
        <w:rPr>
          <w:rFonts w:ascii="Times New Roman" w:hAnsi="Times New Roman" w:cs="Times New Roman"/>
          <w:sz w:val="22"/>
          <w:szCs w:val="22"/>
        </w:rPr>
        <w:t>See Petitioner’s Simultaneous Opening Brief (filed August 5, 2017), at 11-15, ¶¶ 38-51.</w:t>
      </w:r>
    </w:p>
    <w:p w14:paraId="7611DCDD" w14:textId="77777777" w:rsidR="00FC046A" w:rsidRPr="003D3334" w:rsidRDefault="00FC046A">
      <w:pPr>
        <w:pStyle w:val="EndnoteText"/>
        <w:rPr>
          <w:rFonts w:ascii="Times New Roman" w:hAnsi="Times New Roman" w:cs="Times New Roman"/>
          <w:sz w:val="22"/>
          <w:szCs w:val="22"/>
        </w:rPr>
      </w:pPr>
    </w:p>
  </w:endnote>
  <w:endnote w:id="150">
    <w:p w14:paraId="39E8ED43" w14:textId="477550F3" w:rsidR="00FC046A" w:rsidRPr="003D3334" w:rsidRDefault="00FC046A" w:rsidP="003D3334">
      <w:pPr>
        <w:pStyle w:val="EndnoteText"/>
        <w:rPr>
          <w:rFonts w:ascii="Times New Roman" w:hAnsi="Times New Roman" w:cs="Times New Roman"/>
          <w:sz w:val="22"/>
          <w:szCs w:val="22"/>
        </w:rPr>
      </w:pPr>
      <w:r w:rsidRPr="003D3334">
        <w:rPr>
          <w:rStyle w:val="EndnoteReference"/>
          <w:rFonts w:ascii="Times New Roman" w:hAnsi="Times New Roman" w:cs="Times New Roman"/>
          <w:sz w:val="22"/>
          <w:szCs w:val="22"/>
        </w:rPr>
        <w:endnoteRef/>
      </w:r>
      <w:r w:rsidRPr="003D3334">
        <w:rPr>
          <w:rFonts w:ascii="Times New Roman" w:hAnsi="Times New Roman" w:cs="Times New Roman"/>
          <w:sz w:val="22"/>
          <w:szCs w:val="22"/>
        </w:rPr>
        <w:t xml:space="preserve"> </w:t>
      </w:r>
      <w:r>
        <w:rPr>
          <w:rFonts w:ascii="Times New Roman" w:hAnsi="Times New Roman" w:cs="Times New Roman"/>
          <w:sz w:val="22"/>
          <w:szCs w:val="22"/>
        </w:rPr>
        <w:t>Opinion at 57.  The Court erroneously concluded that the Peak insureds, which conducted operations deep in contaminated mines, and were located on a Superfund site, did not face a material risk for pollution liability loss, stating as follows:</w:t>
      </w:r>
      <w:r w:rsidRPr="007E2B9B">
        <w:rPr>
          <w:rFonts w:ascii="Times New Roman" w:hAnsi="Times New Roman" w:cs="Times New Roman"/>
          <w:sz w:val="22"/>
          <w:szCs w:val="22"/>
        </w:rPr>
        <w:t xml:space="preserve"> </w:t>
      </w:r>
      <w:r>
        <w:rPr>
          <w:rFonts w:ascii="Times New Roman" w:hAnsi="Times New Roman" w:cs="Times New Roman"/>
          <w:sz w:val="22"/>
          <w:szCs w:val="22"/>
        </w:rPr>
        <w:t>“</w:t>
      </w:r>
      <w:r w:rsidRPr="003D3334">
        <w:rPr>
          <w:rFonts w:ascii="Times New Roman" w:hAnsi="Times New Roman" w:cs="Times New Roman"/>
          <w:sz w:val="22"/>
          <w:szCs w:val="22"/>
        </w:rPr>
        <w:t>Reserve contends that Peak was on a Superfund site and could have been</w:t>
      </w:r>
      <w:r>
        <w:rPr>
          <w:rFonts w:ascii="Times New Roman" w:hAnsi="Times New Roman" w:cs="Times New Roman"/>
          <w:sz w:val="22"/>
          <w:szCs w:val="22"/>
        </w:rPr>
        <w:t xml:space="preserve"> </w:t>
      </w:r>
      <w:r w:rsidRPr="003D3334">
        <w:rPr>
          <w:rFonts w:ascii="Times New Roman" w:hAnsi="Times New Roman" w:cs="Times New Roman"/>
          <w:sz w:val="22"/>
          <w:szCs w:val="22"/>
        </w:rPr>
        <w:t>exposed to pollution liability, for which no third-party coverage was available.</w:t>
      </w:r>
      <w:r>
        <w:rPr>
          <w:rFonts w:ascii="Times New Roman" w:hAnsi="Times New Roman" w:cs="Times New Roman"/>
          <w:sz w:val="22"/>
          <w:szCs w:val="22"/>
        </w:rPr>
        <w:t xml:space="preserve">  </w:t>
      </w:r>
      <w:r w:rsidRPr="00323386">
        <w:rPr>
          <w:rFonts w:ascii="Times New Roman" w:hAnsi="Times New Roman" w:cs="Times New Roman"/>
          <w:b/>
          <w:sz w:val="22"/>
          <w:szCs w:val="22"/>
        </w:rPr>
        <w:t>Peak itself did not engage in mining practices that spread pollutants, and it already had systems in place to control the fluid runoff when it cleaned equipment used in polluted mines</w:t>
      </w:r>
      <w:r w:rsidRPr="003D3334">
        <w:rPr>
          <w:rFonts w:ascii="Times New Roman" w:hAnsi="Times New Roman" w:cs="Times New Roman"/>
          <w:sz w:val="22"/>
          <w:szCs w:val="22"/>
        </w:rPr>
        <w:t>.</w:t>
      </w:r>
      <w:r>
        <w:rPr>
          <w:rFonts w:ascii="Times New Roman" w:hAnsi="Times New Roman" w:cs="Times New Roman"/>
          <w:sz w:val="22"/>
          <w:szCs w:val="22"/>
        </w:rPr>
        <w:t>” (</w:t>
      </w:r>
      <w:r w:rsidRPr="00323386">
        <w:rPr>
          <w:rFonts w:ascii="Times New Roman" w:hAnsi="Times New Roman" w:cs="Times New Roman"/>
          <w:sz w:val="22"/>
          <w:szCs w:val="22"/>
        </w:rPr>
        <w:t>Emphasis added).</w:t>
      </w:r>
    </w:p>
    <w:p w14:paraId="3B2DE740" w14:textId="77777777" w:rsidR="00FC046A" w:rsidRPr="003D3334" w:rsidRDefault="00FC046A">
      <w:pPr>
        <w:pStyle w:val="EndnoteText"/>
        <w:rPr>
          <w:rFonts w:ascii="Times New Roman" w:hAnsi="Times New Roman" w:cs="Times New Roman"/>
          <w:sz w:val="22"/>
          <w:szCs w:val="22"/>
        </w:rPr>
      </w:pPr>
    </w:p>
  </w:endnote>
  <w:endnote w:id="151">
    <w:p w14:paraId="2652F4E9" w14:textId="39E0FDEB" w:rsidR="00FC046A" w:rsidRDefault="00FC046A" w:rsidP="00BC4C39">
      <w:pPr>
        <w:pStyle w:val="EndnoteText"/>
        <w:rPr>
          <w:rFonts w:ascii="Times New Roman" w:hAnsi="Times New Roman" w:cs="Times New Roman"/>
          <w:sz w:val="22"/>
          <w:szCs w:val="22"/>
        </w:rPr>
      </w:pPr>
      <w:r w:rsidRPr="000A3689">
        <w:rPr>
          <w:rStyle w:val="EndnoteReference"/>
          <w:rFonts w:ascii="Times New Roman" w:hAnsi="Times New Roman" w:cs="Times New Roman"/>
          <w:sz w:val="22"/>
          <w:szCs w:val="22"/>
        </w:rPr>
        <w:endnoteRef/>
      </w:r>
      <w:r w:rsidRPr="000A3689">
        <w:rPr>
          <w:rFonts w:ascii="Times New Roman" w:hAnsi="Times New Roman" w:cs="Times New Roman"/>
          <w:sz w:val="22"/>
          <w:szCs w:val="22"/>
        </w:rPr>
        <w:t xml:space="preserve"> </w:t>
      </w:r>
      <w:r w:rsidRPr="00AE554A">
        <w:rPr>
          <w:rFonts w:ascii="Times New Roman" w:hAnsi="Times New Roman" w:cs="Times New Roman"/>
          <w:sz w:val="22"/>
          <w:szCs w:val="22"/>
        </w:rPr>
        <w:t xml:space="preserve">See testimony of Donald J. Riggin, at </w:t>
      </w:r>
      <w:r>
        <w:rPr>
          <w:rFonts w:ascii="Times New Roman" w:hAnsi="Times New Roman" w:cs="Times New Roman"/>
          <w:sz w:val="22"/>
          <w:szCs w:val="22"/>
        </w:rPr>
        <w:t>1001-1003.</w:t>
      </w:r>
    </w:p>
    <w:p w14:paraId="578A5467" w14:textId="77777777" w:rsidR="00FC046A" w:rsidRPr="00B80538" w:rsidRDefault="00FC046A" w:rsidP="00BC4C39">
      <w:pPr>
        <w:pStyle w:val="EndnoteText"/>
        <w:rPr>
          <w:rFonts w:ascii="Times New Roman" w:hAnsi="Times New Roman" w:cs="Times New Roman"/>
          <w:sz w:val="22"/>
          <w:szCs w:val="22"/>
        </w:rPr>
      </w:pPr>
    </w:p>
  </w:endnote>
  <w:endnote w:id="152">
    <w:p w14:paraId="613108C8" w14:textId="1F9F61B6" w:rsidR="00FC046A" w:rsidRPr="00B80538" w:rsidRDefault="00FC046A">
      <w:pPr>
        <w:pStyle w:val="EndnoteText"/>
        <w:rPr>
          <w:rFonts w:ascii="Times New Roman" w:hAnsi="Times New Roman" w:cs="Times New Roman"/>
          <w:sz w:val="22"/>
          <w:szCs w:val="22"/>
        </w:rPr>
      </w:pPr>
      <w:r w:rsidRPr="00B80538">
        <w:rPr>
          <w:rStyle w:val="EndnoteReference"/>
          <w:rFonts w:ascii="Times New Roman" w:hAnsi="Times New Roman" w:cs="Times New Roman"/>
          <w:sz w:val="22"/>
          <w:szCs w:val="22"/>
        </w:rPr>
        <w:endnoteRef/>
      </w:r>
      <w:r w:rsidRPr="00B80538">
        <w:rPr>
          <w:rFonts w:ascii="Times New Roman" w:hAnsi="Times New Roman" w:cs="Times New Roman"/>
          <w:sz w:val="22"/>
          <w:szCs w:val="22"/>
        </w:rPr>
        <w:t xml:space="preserve"> </w:t>
      </w:r>
      <w:r w:rsidRPr="00BF33F2">
        <w:rPr>
          <w:rFonts w:ascii="Times New Roman" w:hAnsi="Times New Roman" w:cs="Times New Roman"/>
          <w:i/>
          <w:sz w:val="22"/>
          <w:szCs w:val="22"/>
        </w:rPr>
        <w:t>Id</w:t>
      </w:r>
      <w:r w:rsidRPr="00786137">
        <w:rPr>
          <w:rFonts w:ascii="Times New Roman" w:hAnsi="Times New Roman" w:cs="Times New Roman"/>
          <w:sz w:val="22"/>
          <w:szCs w:val="22"/>
        </w:rPr>
        <w:t>.</w:t>
      </w:r>
      <w:r>
        <w:rPr>
          <w:rFonts w:ascii="Times New Roman" w:hAnsi="Times New Roman" w:cs="Times New Roman"/>
          <w:sz w:val="22"/>
          <w:szCs w:val="22"/>
        </w:rPr>
        <w:t xml:space="preserve"> at 1002.</w:t>
      </w:r>
    </w:p>
    <w:p w14:paraId="13958312" w14:textId="77777777" w:rsidR="00FC046A" w:rsidRPr="00B80538" w:rsidRDefault="00FC046A">
      <w:pPr>
        <w:pStyle w:val="EndnoteText"/>
        <w:rPr>
          <w:rFonts w:ascii="Times New Roman" w:hAnsi="Times New Roman" w:cs="Times New Roman"/>
          <w:sz w:val="22"/>
          <w:szCs w:val="22"/>
        </w:rPr>
      </w:pPr>
    </w:p>
  </w:endnote>
  <w:endnote w:id="153">
    <w:p w14:paraId="70D4D160" w14:textId="40745085" w:rsidR="00FC046A" w:rsidRPr="00786137" w:rsidRDefault="00FC046A">
      <w:pPr>
        <w:pStyle w:val="EndnoteText"/>
        <w:rPr>
          <w:rFonts w:ascii="Times New Roman" w:hAnsi="Times New Roman" w:cs="Times New Roman"/>
          <w:sz w:val="22"/>
          <w:szCs w:val="22"/>
        </w:rPr>
      </w:pPr>
      <w:r w:rsidRPr="00786137">
        <w:rPr>
          <w:rStyle w:val="EndnoteReference"/>
          <w:rFonts w:ascii="Times New Roman" w:hAnsi="Times New Roman" w:cs="Times New Roman"/>
          <w:sz w:val="22"/>
          <w:szCs w:val="22"/>
        </w:rPr>
        <w:endnoteRef/>
      </w:r>
      <w:r w:rsidRPr="00786137">
        <w:rPr>
          <w:rFonts w:ascii="Times New Roman" w:hAnsi="Times New Roman" w:cs="Times New Roman"/>
          <w:sz w:val="22"/>
          <w:szCs w:val="22"/>
        </w:rPr>
        <w:t xml:space="preserve"> </w:t>
      </w:r>
      <w:r w:rsidRPr="00BF33F2">
        <w:rPr>
          <w:rFonts w:ascii="Times New Roman" w:hAnsi="Times New Roman" w:cs="Times New Roman"/>
          <w:i/>
          <w:sz w:val="22"/>
          <w:szCs w:val="22"/>
        </w:rPr>
        <w:t>Id</w:t>
      </w:r>
      <w:r w:rsidRPr="00786137">
        <w:rPr>
          <w:rFonts w:ascii="Times New Roman" w:hAnsi="Times New Roman" w:cs="Times New Roman"/>
          <w:sz w:val="22"/>
          <w:szCs w:val="22"/>
        </w:rPr>
        <w:t>.</w:t>
      </w:r>
      <w:r>
        <w:rPr>
          <w:rFonts w:ascii="Times New Roman" w:hAnsi="Times New Roman" w:cs="Times New Roman"/>
          <w:sz w:val="22"/>
          <w:szCs w:val="22"/>
        </w:rPr>
        <w:t xml:space="preserve"> at 1003.</w:t>
      </w:r>
    </w:p>
    <w:p w14:paraId="2F714789" w14:textId="77777777" w:rsidR="00FC046A" w:rsidRDefault="00FC046A">
      <w:pPr>
        <w:pStyle w:val="EndnoteText"/>
      </w:pPr>
    </w:p>
  </w:endnote>
  <w:endnote w:id="154">
    <w:p w14:paraId="21BDF961" w14:textId="05DB2A0E" w:rsidR="00FC046A" w:rsidRPr="00DA59FF" w:rsidRDefault="00FC046A">
      <w:pPr>
        <w:pStyle w:val="EndnoteText"/>
        <w:rPr>
          <w:rFonts w:ascii="Times New Roman" w:hAnsi="Times New Roman" w:cs="Times New Roman"/>
          <w:sz w:val="22"/>
          <w:szCs w:val="22"/>
        </w:rPr>
      </w:pPr>
      <w:r w:rsidRPr="00DA59FF">
        <w:rPr>
          <w:rStyle w:val="EndnoteReference"/>
          <w:rFonts w:ascii="Times New Roman" w:hAnsi="Times New Roman" w:cs="Times New Roman"/>
          <w:sz w:val="22"/>
          <w:szCs w:val="22"/>
        </w:rPr>
        <w:endnoteRef/>
      </w:r>
      <w:r w:rsidRPr="00DA59FF">
        <w:rPr>
          <w:rFonts w:ascii="Times New Roman" w:hAnsi="Times New Roman" w:cs="Times New Roman"/>
          <w:sz w:val="22"/>
          <w:szCs w:val="22"/>
        </w:rPr>
        <w:t xml:space="preserve"> See testimony of Donald J. Riggin, </w:t>
      </w:r>
      <w:r>
        <w:rPr>
          <w:rFonts w:ascii="Times New Roman" w:hAnsi="Times New Roman" w:cs="Times New Roman"/>
          <w:sz w:val="22"/>
          <w:szCs w:val="22"/>
        </w:rPr>
        <w:t>Tr.</w:t>
      </w:r>
      <w:r w:rsidRPr="00DA59FF">
        <w:rPr>
          <w:rFonts w:ascii="Times New Roman" w:hAnsi="Times New Roman" w:cs="Times New Roman"/>
          <w:sz w:val="22"/>
          <w:szCs w:val="22"/>
        </w:rPr>
        <w:t xml:space="preserve"> at </w:t>
      </w:r>
      <w:r>
        <w:rPr>
          <w:rFonts w:ascii="Times New Roman" w:hAnsi="Times New Roman" w:cs="Times New Roman"/>
          <w:sz w:val="22"/>
          <w:szCs w:val="22"/>
        </w:rPr>
        <w:t xml:space="preserve">928-929, where Mr. Riggin affirmed that he was testifying as an “insurance industry expert” in the </w:t>
      </w:r>
      <w:r w:rsidRPr="008A4C2F">
        <w:rPr>
          <w:rFonts w:ascii="Times New Roman" w:hAnsi="Times New Roman" w:cs="Times New Roman"/>
          <w:i/>
          <w:sz w:val="22"/>
          <w:szCs w:val="22"/>
        </w:rPr>
        <w:t>Reserve</w:t>
      </w:r>
      <w:r>
        <w:rPr>
          <w:rFonts w:ascii="Times New Roman" w:hAnsi="Times New Roman" w:cs="Times New Roman"/>
          <w:sz w:val="22"/>
          <w:szCs w:val="22"/>
        </w:rPr>
        <w:t xml:space="preserve"> case.</w:t>
      </w:r>
    </w:p>
    <w:p w14:paraId="00DC061D" w14:textId="77777777" w:rsidR="00FC046A" w:rsidRPr="003B085E" w:rsidRDefault="00FC046A">
      <w:pPr>
        <w:pStyle w:val="EndnoteText"/>
        <w:rPr>
          <w:rFonts w:ascii="Times New Roman" w:hAnsi="Times New Roman" w:cs="Times New Roman"/>
          <w:sz w:val="22"/>
          <w:szCs w:val="22"/>
        </w:rPr>
      </w:pPr>
    </w:p>
  </w:endnote>
  <w:endnote w:id="155">
    <w:p w14:paraId="4C80D458" w14:textId="3B321AD8" w:rsidR="00FC046A" w:rsidRPr="003B085E" w:rsidRDefault="00FC046A">
      <w:pPr>
        <w:pStyle w:val="EndnoteText"/>
        <w:rPr>
          <w:rFonts w:ascii="Times New Roman" w:hAnsi="Times New Roman" w:cs="Times New Roman"/>
          <w:sz w:val="22"/>
          <w:szCs w:val="22"/>
        </w:rPr>
      </w:pPr>
      <w:r w:rsidRPr="003B085E">
        <w:rPr>
          <w:rStyle w:val="EndnoteReference"/>
          <w:rFonts w:ascii="Times New Roman" w:hAnsi="Times New Roman" w:cs="Times New Roman"/>
          <w:sz w:val="22"/>
          <w:szCs w:val="22"/>
        </w:rPr>
        <w:endnoteRef/>
      </w:r>
      <w:r w:rsidRPr="003B085E">
        <w:rPr>
          <w:rFonts w:ascii="Times New Roman" w:hAnsi="Times New Roman" w:cs="Times New Roman"/>
          <w:sz w:val="22"/>
          <w:szCs w:val="22"/>
        </w:rPr>
        <w:t xml:space="preserve"> </w:t>
      </w:r>
      <w:r w:rsidRPr="00F75B1A">
        <w:rPr>
          <w:rFonts w:ascii="Times New Roman" w:hAnsi="Times New Roman" w:cs="Times New Roman"/>
          <w:sz w:val="22"/>
          <w:szCs w:val="22"/>
        </w:rPr>
        <w:t xml:space="preserve">See Petitioner’s Simultaneous Opening Brief (filed August 5, 2017), at 11-15, </w:t>
      </w:r>
      <w:r>
        <w:rPr>
          <w:rFonts w:ascii="Times New Roman" w:hAnsi="Times New Roman" w:cs="Times New Roman"/>
          <w:sz w:val="22"/>
          <w:szCs w:val="22"/>
        </w:rPr>
        <w:t xml:space="preserve">¶ ¶ </w:t>
      </w:r>
      <w:r w:rsidRPr="00F75B1A">
        <w:rPr>
          <w:rFonts w:ascii="Times New Roman" w:hAnsi="Times New Roman" w:cs="Times New Roman"/>
          <w:sz w:val="22"/>
          <w:szCs w:val="22"/>
        </w:rPr>
        <w:t xml:space="preserve"> 38-51</w:t>
      </w:r>
      <w:r>
        <w:rPr>
          <w:rFonts w:ascii="Times New Roman" w:hAnsi="Times New Roman" w:cs="Times New Roman"/>
          <w:sz w:val="22"/>
          <w:szCs w:val="22"/>
        </w:rPr>
        <w:t>.</w:t>
      </w:r>
    </w:p>
    <w:p w14:paraId="2C8BD764" w14:textId="77777777" w:rsidR="00FC046A" w:rsidRPr="003B085E" w:rsidRDefault="00FC046A">
      <w:pPr>
        <w:pStyle w:val="EndnoteText"/>
        <w:rPr>
          <w:rFonts w:ascii="Times New Roman" w:hAnsi="Times New Roman" w:cs="Times New Roman"/>
          <w:sz w:val="22"/>
          <w:szCs w:val="22"/>
        </w:rPr>
      </w:pPr>
    </w:p>
  </w:endnote>
  <w:endnote w:id="156">
    <w:p w14:paraId="27D22FC2" w14:textId="15C9A2F5" w:rsidR="00FC046A" w:rsidRPr="00885764" w:rsidRDefault="00FC046A" w:rsidP="00CD2255">
      <w:pPr>
        <w:pStyle w:val="EndnoteText"/>
        <w:rPr>
          <w:rFonts w:ascii="Times New Roman" w:hAnsi="Times New Roman" w:cs="Times New Roman"/>
          <w:sz w:val="22"/>
          <w:szCs w:val="22"/>
        </w:rPr>
      </w:pPr>
      <w:r w:rsidRPr="00455E7B">
        <w:rPr>
          <w:rStyle w:val="EndnoteReference"/>
          <w:rFonts w:ascii="Times New Roman" w:hAnsi="Times New Roman" w:cs="Times New Roman"/>
          <w:sz w:val="22"/>
          <w:szCs w:val="22"/>
        </w:rPr>
        <w:endnoteRef/>
      </w:r>
      <w:r w:rsidRPr="00455E7B">
        <w:rPr>
          <w:rFonts w:ascii="Times New Roman" w:hAnsi="Times New Roman" w:cs="Times New Roman"/>
          <w:sz w:val="22"/>
          <w:szCs w:val="22"/>
        </w:rPr>
        <w:t xml:space="preserve"> See CERCLA section 107(a)(1), section 107(a)(2), section 107(a)(3), and section 107(a)(4).</w:t>
      </w:r>
      <w:r>
        <w:rPr>
          <w:rFonts w:ascii="Times New Roman" w:hAnsi="Times New Roman" w:cs="Times New Roman"/>
          <w:sz w:val="22"/>
          <w:szCs w:val="22"/>
        </w:rPr>
        <w:t xml:space="preserve">  The four classes of parties that may be held liable as “potentially responsible parties” under CERCLA include </w:t>
      </w:r>
      <w:r w:rsidRPr="00455E7B">
        <w:rPr>
          <w:rFonts w:ascii="Times New Roman" w:hAnsi="Times New Roman" w:cs="Times New Roman"/>
          <w:sz w:val="22"/>
          <w:szCs w:val="22"/>
        </w:rPr>
        <w:t>the current owner or operator of the site</w:t>
      </w:r>
      <w:r>
        <w:rPr>
          <w:rFonts w:ascii="Times New Roman" w:hAnsi="Times New Roman" w:cs="Times New Roman"/>
          <w:sz w:val="22"/>
          <w:szCs w:val="22"/>
        </w:rPr>
        <w:t xml:space="preserve">, </w:t>
      </w:r>
      <w:r w:rsidRPr="004D63AE">
        <w:rPr>
          <w:rFonts w:ascii="Times New Roman" w:hAnsi="Times New Roman" w:cs="Times New Roman"/>
          <w:sz w:val="22"/>
          <w:szCs w:val="22"/>
        </w:rPr>
        <w:t xml:space="preserve">the owner or </w:t>
      </w:r>
      <w:r w:rsidRPr="0027334E">
        <w:rPr>
          <w:rFonts w:ascii="Times New Roman" w:hAnsi="Times New Roman" w:cs="Times New Roman"/>
          <w:sz w:val="22"/>
          <w:szCs w:val="22"/>
        </w:rPr>
        <w:t xml:space="preserve">operator of a site at the time that disposal of a hazardous substance, pollutant or contaminant occurred; a </w:t>
      </w:r>
      <w:r w:rsidRPr="00885764">
        <w:rPr>
          <w:rFonts w:ascii="Times New Roman" w:hAnsi="Times New Roman" w:cs="Times New Roman"/>
          <w:sz w:val="22"/>
          <w:szCs w:val="22"/>
        </w:rPr>
        <w:t xml:space="preserve">person who arranged for the disposal of a hazardous substance, pollutant or contaminant at a site; and a person who transported a hazardous substance, pollutant or contaminant to a site, who also has selected that site for the disposal of the hazardous substances, pollutants or contaminants. </w:t>
      </w:r>
    </w:p>
    <w:p w14:paraId="457EE8E9" w14:textId="77777777" w:rsidR="00FC046A" w:rsidRPr="00885764" w:rsidRDefault="00FC046A" w:rsidP="00CD2255">
      <w:pPr>
        <w:pStyle w:val="EndnoteText"/>
        <w:rPr>
          <w:rFonts w:ascii="Times New Roman" w:hAnsi="Times New Roman" w:cs="Times New Roman"/>
          <w:sz w:val="22"/>
          <w:szCs w:val="22"/>
        </w:rPr>
      </w:pPr>
    </w:p>
    <w:p w14:paraId="30BA1EC4" w14:textId="08A923C2" w:rsidR="00FC046A" w:rsidRPr="0027334E" w:rsidRDefault="00FC046A" w:rsidP="00CD2255">
      <w:pPr>
        <w:pStyle w:val="EndnoteText"/>
        <w:rPr>
          <w:rFonts w:ascii="Times New Roman" w:hAnsi="Times New Roman" w:cs="Times New Roman"/>
          <w:sz w:val="22"/>
          <w:szCs w:val="22"/>
        </w:rPr>
      </w:pPr>
      <w:r w:rsidRPr="002D7ED3">
        <w:rPr>
          <w:rFonts w:ascii="Times New Roman" w:hAnsi="Times New Roman" w:cs="Times New Roman"/>
          <w:sz w:val="22"/>
          <w:szCs w:val="22"/>
        </w:rPr>
        <w:t xml:space="preserve">The pollution liability policy issued by Reserve </w:t>
      </w:r>
      <w:r>
        <w:rPr>
          <w:rFonts w:ascii="Times New Roman" w:hAnsi="Times New Roman" w:cs="Times New Roman"/>
          <w:sz w:val="22"/>
          <w:szCs w:val="22"/>
        </w:rPr>
        <w:t xml:space="preserve">expressly </w:t>
      </w:r>
      <w:r w:rsidRPr="002D7ED3">
        <w:rPr>
          <w:rFonts w:ascii="Times New Roman" w:hAnsi="Times New Roman" w:cs="Times New Roman"/>
          <w:sz w:val="22"/>
          <w:szCs w:val="22"/>
        </w:rPr>
        <w:t>covered these CERCLA liability risks</w:t>
      </w:r>
      <w:r w:rsidRPr="00FF2F55">
        <w:rPr>
          <w:rFonts w:ascii="Times New Roman" w:hAnsi="Times New Roman" w:cs="Times New Roman"/>
          <w:sz w:val="22"/>
          <w:szCs w:val="22"/>
        </w:rPr>
        <w:t>.</w:t>
      </w:r>
      <w:r w:rsidRPr="00885764">
        <w:rPr>
          <w:rFonts w:ascii="Times New Roman" w:hAnsi="Times New Roman" w:cs="Times New Roman"/>
          <w:sz w:val="22"/>
          <w:szCs w:val="22"/>
        </w:rPr>
        <w:t xml:space="preserve">  See Exhibit 41</w:t>
      </w:r>
      <w:r>
        <w:rPr>
          <w:rFonts w:ascii="Times New Roman" w:hAnsi="Times New Roman" w:cs="Times New Roman"/>
          <w:sz w:val="22"/>
          <w:szCs w:val="22"/>
        </w:rPr>
        <w:t>-</w:t>
      </w:r>
      <w:r w:rsidRPr="00885764">
        <w:rPr>
          <w:rFonts w:ascii="Times New Roman" w:hAnsi="Times New Roman" w:cs="Times New Roman"/>
          <w:sz w:val="22"/>
          <w:szCs w:val="22"/>
        </w:rPr>
        <w:t>J (2008 Excess Pollution Liability Insurance Policy), Exhibit 65</w:t>
      </w:r>
      <w:r>
        <w:rPr>
          <w:rFonts w:ascii="Times New Roman" w:hAnsi="Times New Roman" w:cs="Times New Roman"/>
          <w:sz w:val="22"/>
          <w:szCs w:val="22"/>
        </w:rPr>
        <w:t>-</w:t>
      </w:r>
      <w:r w:rsidRPr="00885764">
        <w:rPr>
          <w:rFonts w:ascii="Times New Roman" w:hAnsi="Times New Roman" w:cs="Times New Roman"/>
          <w:sz w:val="22"/>
          <w:szCs w:val="22"/>
        </w:rPr>
        <w:t>J (2009 Excess Pollution Liability</w:t>
      </w:r>
      <w:r>
        <w:rPr>
          <w:rFonts w:ascii="Times New Roman" w:hAnsi="Times New Roman" w:cs="Times New Roman"/>
          <w:sz w:val="22"/>
          <w:szCs w:val="22"/>
        </w:rPr>
        <w:t xml:space="preserve"> </w:t>
      </w:r>
      <w:r w:rsidRPr="00885764">
        <w:rPr>
          <w:rFonts w:ascii="Times New Roman" w:hAnsi="Times New Roman" w:cs="Times New Roman"/>
          <w:sz w:val="22"/>
          <w:szCs w:val="22"/>
        </w:rPr>
        <w:t>Insurance Policy), and Exhibit 150</w:t>
      </w:r>
      <w:r>
        <w:rPr>
          <w:rFonts w:ascii="Times New Roman" w:hAnsi="Times New Roman" w:cs="Times New Roman"/>
          <w:sz w:val="22"/>
          <w:szCs w:val="22"/>
        </w:rPr>
        <w:t>-</w:t>
      </w:r>
      <w:r w:rsidRPr="00885764">
        <w:rPr>
          <w:rFonts w:ascii="Times New Roman" w:hAnsi="Times New Roman" w:cs="Times New Roman"/>
          <w:sz w:val="22"/>
          <w:szCs w:val="22"/>
        </w:rPr>
        <w:t>J (2010 Excess Pollution Liability Insurance Policy).</w:t>
      </w:r>
      <w:r>
        <w:rPr>
          <w:rFonts w:ascii="Times New Roman" w:hAnsi="Times New Roman" w:cs="Times New Roman"/>
          <w:sz w:val="22"/>
          <w:szCs w:val="22"/>
        </w:rPr>
        <w:t xml:space="preserve">  The below described provisions in each year’s policy reflect that liability risks were clearly encompassed by CERCLA. </w:t>
      </w:r>
    </w:p>
    <w:p w14:paraId="6F3B2329" w14:textId="77777777" w:rsidR="00FC046A" w:rsidRPr="0027334E" w:rsidRDefault="00FC046A" w:rsidP="00CD2255">
      <w:pPr>
        <w:pStyle w:val="EndnoteText"/>
        <w:rPr>
          <w:rFonts w:ascii="Times New Roman" w:hAnsi="Times New Roman" w:cs="Times New Roman"/>
          <w:sz w:val="22"/>
          <w:szCs w:val="22"/>
        </w:rPr>
      </w:pPr>
    </w:p>
    <w:p w14:paraId="4AC0D38E" w14:textId="0C3C92B5" w:rsidR="00FC046A" w:rsidRPr="0027334E" w:rsidRDefault="00FC046A" w:rsidP="006953D4">
      <w:pPr>
        <w:pStyle w:val="EndnoteText"/>
        <w:rPr>
          <w:rFonts w:ascii="Times New Roman" w:hAnsi="Times New Roman" w:cs="Times New Roman"/>
          <w:sz w:val="22"/>
          <w:szCs w:val="22"/>
        </w:rPr>
      </w:pPr>
      <w:r>
        <w:rPr>
          <w:rFonts w:ascii="Times New Roman" w:hAnsi="Times New Roman" w:cs="Times New Roman"/>
          <w:sz w:val="22"/>
          <w:szCs w:val="22"/>
        </w:rPr>
        <w:t>For all 3 years at issue (2008-10), ¶ 1 of the pollution liability policy that Reserve issued to Peak stated as follows: “</w:t>
      </w:r>
      <w:r w:rsidRPr="0027334E">
        <w:rPr>
          <w:rFonts w:ascii="Times New Roman" w:hAnsi="Times New Roman" w:cs="Times New Roman"/>
          <w:sz w:val="22"/>
          <w:szCs w:val="22"/>
        </w:rPr>
        <w:t>We agree to indemnify you for Clean-Up Costs on or under the Insured Property and to</w:t>
      </w:r>
      <w:r>
        <w:rPr>
          <w:rFonts w:ascii="Times New Roman" w:hAnsi="Times New Roman" w:cs="Times New Roman"/>
          <w:sz w:val="22"/>
          <w:szCs w:val="22"/>
        </w:rPr>
        <w:t xml:space="preserve"> </w:t>
      </w:r>
      <w:r w:rsidRPr="0027334E">
        <w:rPr>
          <w:rFonts w:ascii="Times New Roman" w:hAnsi="Times New Roman" w:cs="Times New Roman"/>
          <w:sz w:val="22"/>
          <w:szCs w:val="22"/>
        </w:rPr>
        <w:t>indemnify you for Diminution in Value of the Insured Property, if such Clean-Up Costs and</w:t>
      </w:r>
      <w:r>
        <w:rPr>
          <w:rFonts w:ascii="Times New Roman" w:hAnsi="Times New Roman" w:cs="Times New Roman"/>
          <w:sz w:val="22"/>
          <w:szCs w:val="22"/>
        </w:rPr>
        <w:t xml:space="preserve"> </w:t>
      </w:r>
      <w:r w:rsidRPr="0027334E">
        <w:rPr>
          <w:rFonts w:ascii="Times New Roman" w:hAnsi="Times New Roman" w:cs="Times New Roman"/>
          <w:sz w:val="22"/>
          <w:szCs w:val="22"/>
        </w:rPr>
        <w:t>Diminution</w:t>
      </w:r>
      <w:r>
        <w:rPr>
          <w:rFonts w:ascii="Times New Roman" w:hAnsi="Times New Roman" w:cs="Times New Roman"/>
          <w:sz w:val="22"/>
          <w:szCs w:val="22"/>
        </w:rPr>
        <w:t xml:space="preserve"> </w:t>
      </w:r>
      <w:r w:rsidRPr="0027334E">
        <w:rPr>
          <w:rFonts w:ascii="Times New Roman" w:hAnsi="Times New Roman" w:cs="Times New Roman"/>
          <w:sz w:val="22"/>
          <w:szCs w:val="22"/>
        </w:rPr>
        <w:t>in Value are sustained solely by reason of your discovery during the policy period of</w:t>
      </w:r>
      <w:r>
        <w:rPr>
          <w:rFonts w:ascii="Times New Roman" w:hAnsi="Times New Roman" w:cs="Times New Roman"/>
          <w:sz w:val="22"/>
          <w:szCs w:val="22"/>
        </w:rPr>
        <w:t xml:space="preserve"> </w:t>
      </w:r>
      <w:r w:rsidRPr="0027334E">
        <w:rPr>
          <w:rFonts w:ascii="Times New Roman" w:hAnsi="Times New Roman" w:cs="Times New Roman"/>
          <w:sz w:val="22"/>
          <w:szCs w:val="22"/>
        </w:rPr>
        <w:t>On-Site Pollution Conditions which commenced prior to the Retroactive Date</w:t>
      </w:r>
      <w:r>
        <w:rPr>
          <w:rFonts w:ascii="Times New Roman" w:hAnsi="Times New Roman" w:cs="Times New Roman"/>
          <w:sz w:val="22"/>
          <w:szCs w:val="22"/>
        </w:rPr>
        <w:t>.”</w:t>
      </w:r>
    </w:p>
    <w:p w14:paraId="6280CB92" w14:textId="77777777" w:rsidR="00FC046A" w:rsidRDefault="00FC046A" w:rsidP="00CD2255">
      <w:pPr>
        <w:pStyle w:val="EndnoteText"/>
        <w:rPr>
          <w:rFonts w:ascii="Times New Roman" w:hAnsi="Times New Roman" w:cs="Times New Roman"/>
          <w:sz w:val="22"/>
          <w:szCs w:val="22"/>
        </w:rPr>
      </w:pPr>
    </w:p>
    <w:p w14:paraId="020E89D8" w14:textId="77777777" w:rsidR="00FC046A" w:rsidRPr="0027334E" w:rsidRDefault="00FC046A" w:rsidP="007E555B">
      <w:pPr>
        <w:pStyle w:val="EndnoteText"/>
        <w:rPr>
          <w:rFonts w:ascii="Times New Roman" w:hAnsi="Times New Roman" w:cs="Times New Roman"/>
          <w:sz w:val="22"/>
          <w:szCs w:val="22"/>
        </w:rPr>
      </w:pPr>
      <w:r>
        <w:rPr>
          <w:rFonts w:ascii="Times New Roman" w:hAnsi="Times New Roman" w:cs="Times New Roman"/>
          <w:sz w:val="22"/>
          <w:szCs w:val="22"/>
        </w:rPr>
        <w:t>Paragraph 18(F) of the pollution liability policy defined “Clean-Up Costs” to include “</w:t>
      </w:r>
      <w:r w:rsidRPr="007E555B">
        <w:rPr>
          <w:rFonts w:ascii="Times New Roman" w:hAnsi="Times New Roman" w:cs="Times New Roman"/>
          <w:sz w:val="22"/>
          <w:szCs w:val="22"/>
        </w:rPr>
        <w:t>costs and expenses of investigation or removal of, or rendering</w:t>
      </w:r>
      <w:r>
        <w:rPr>
          <w:rFonts w:ascii="Times New Roman" w:hAnsi="Times New Roman" w:cs="Times New Roman"/>
          <w:sz w:val="22"/>
          <w:szCs w:val="22"/>
        </w:rPr>
        <w:t xml:space="preserve"> </w:t>
      </w:r>
      <w:r w:rsidRPr="007E555B">
        <w:rPr>
          <w:rFonts w:ascii="Times New Roman" w:hAnsi="Times New Roman" w:cs="Times New Roman"/>
          <w:sz w:val="22"/>
          <w:szCs w:val="22"/>
        </w:rPr>
        <w:t>non-hazardous or less hazardous, Pollution Conditions to the extent</w:t>
      </w:r>
      <w:r>
        <w:rPr>
          <w:rFonts w:ascii="Times New Roman" w:hAnsi="Times New Roman" w:cs="Times New Roman"/>
          <w:sz w:val="22"/>
          <w:szCs w:val="22"/>
        </w:rPr>
        <w:t xml:space="preserve"> </w:t>
      </w:r>
      <w:r w:rsidRPr="007E555B">
        <w:rPr>
          <w:rFonts w:ascii="Times New Roman" w:hAnsi="Times New Roman" w:cs="Times New Roman"/>
          <w:sz w:val="22"/>
          <w:szCs w:val="22"/>
        </w:rPr>
        <w:t>required by Environmental Laws , or by governmental or court order or</w:t>
      </w:r>
      <w:r>
        <w:rPr>
          <w:rFonts w:ascii="Times New Roman" w:hAnsi="Times New Roman" w:cs="Times New Roman"/>
          <w:sz w:val="22"/>
          <w:szCs w:val="22"/>
        </w:rPr>
        <w:t xml:space="preserve"> </w:t>
      </w:r>
      <w:r w:rsidRPr="007E555B">
        <w:rPr>
          <w:rFonts w:ascii="Times New Roman" w:hAnsi="Times New Roman" w:cs="Times New Roman"/>
          <w:sz w:val="22"/>
          <w:szCs w:val="22"/>
        </w:rPr>
        <w:t>directive, or required or approved by a governmental agency, acting under</w:t>
      </w:r>
      <w:r>
        <w:rPr>
          <w:rFonts w:ascii="Times New Roman" w:hAnsi="Times New Roman" w:cs="Times New Roman"/>
          <w:sz w:val="22"/>
          <w:szCs w:val="22"/>
        </w:rPr>
        <w:t xml:space="preserve"> </w:t>
      </w:r>
      <w:r w:rsidRPr="007E555B">
        <w:rPr>
          <w:rFonts w:ascii="Times New Roman" w:hAnsi="Times New Roman" w:cs="Times New Roman"/>
          <w:sz w:val="22"/>
          <w:szCs w:val="22"/>
        </w:rPr>
        <w:t>authority granted by Environmental Laws</w:t>
      </w:r>
      <w:r>
        <w:rPr>
          <w:rFonts w:ascii="Times New Roman" w:hAnsi="Times New Roman" w:cs="Times New Roman"/>
          <w:sz w:val="22"/>
          <w:szCs w:val="22"/>
        </w:rPr>
        <w:t>.”</w:t>
      </w:r>
    </w:p>
    <w:p w14:paraId="02CAC2DE" w14:textId="77777777" w:rsidR="00FC046A" w:rsidRDefault="00FC046A" w:rsidP="00CD2255">
      <w:pPr>
        <w:pStyle w:val="EndnoteText"/>
        <w:rPr>
          <w:rFonts w:ascii="Times New Roman" w:hAnsi="Times New Roman" w:cs="Times New Roman"/>
          <w:sz w:val="22"/>
          <w:szCs w:val="22"/>
        </w:rPr>
      </w:pPr>
    </w:p>
    <w:p w14:paraId="37A27640" w14:textId="77777777" w:rsidR="00FC046A" w:rsidRDefault="00FC046A" w:rsidP="00CD2255">
      <w:pPr>
        <w:pStyle w:val="EndnoteText"/>
        <w:rPr>
          <w:rFonts w:ascii="Times New Roman" w:hAnsi="Times New Roman" w:cs="Times New Roman"/>
          <w:sz w:val="22"/>
          <w:szCs w:val="22"/>
        </w:rPr>
      </w:pPr>
      <w:r>
        <w:rPr>
          <w:rFonts w:ascii="Times New Roman" w:hAnsi="Times New Roman" w:cs="Times New Roman"/>
          <w:sz w:val="22"/>
          <w:szCs w:val="22"/>
        </w:rPr>
        <w:t xml:space="preserve">Paragraph 18(I) of the pollution liability policy defined </w:t>
      </w:r>
      <w:r w:rsidRPr="0027334E">
        <w:rPr>
          <w:rFonts w:ascii="Times New Roman" w:hAnsi="Times New Roman" w:cs="Times New Roman"/>
          <w:sz w:val="22"/>
          <w:szCs w:val="22"/>
        </w:rPr>
        <w:t>“Environmental Laws”</w:t>
      </w:r>
      <w:r>
        <w:rPr>
          <w:rFonts w:ascii="Times New Roman" w:hAnsi="Times New Roman" w:cs="Times New Roman"/>
          <w:sz w:val="22"/>
          <w:szCs w:val="22"/>
        </w:rPr>
        <w:t xml:space="preserve"> as</w:t>
      </w:r>
      <w:r w:rsidRPr="0027334E">
        <w:rPr>
          <w:rFonts w:ascii="Times New Roman" w:hAnsi="Times New Roman" w:cs="Times New Roman"/>
          <w:sz w:val="22"/>
          <w:szCs w:val="22"/>
        </w:rPr>
        <w:t xml:space="preserve"> </w:t>
      </w:r>
      <w:r>
        <w:rPr>
          <w:rFonts w:ascii="Times New Roman" w:hAnsi="Times New Roman" w:cs="Times New Roman"/>
          <w:sz w:val="22"/>
          <w:szCs w:val="22"/>
        </w:rPr>
        <w:t>“</w:t>
      </w:r>
      <w:r w:rsidRPr="0027334E">
        <w:rPr>
          <w:rFonts w:ascii="Times New Roman" w:hAnsi="Times New Roman" w:cs="Times New Roman"/>
          <w:sz w:val="22"/>
          <w:szCs w:val="22"/>
        </w:rPr>
        <w:t>one or more of the following statutes, any amendments thereto, and any regulations promulgated thereunder</w:t>
      </w:r>
      <w:r w:rsidRPr="00CD2255">
        <w:rPr>
          <w:rFonts w:ascii="Times New Roman" w:hAnsi="Times New Roman" w:cs="Times New Roman"/>
          <w:sz w:val="22"/>
          <w:szCs w:val="22"/>
        </w:rPr>
        <w:t>, and any other applicable federal,</w:t>
      </w:r>
      <w:r>
        <w:rPr>
          <w:rFonts w:ascii="Times New Roman" w:hAnsi="Times New Roman" w:cs="Times New Roman"/>
          <w:sz w:val="22"/>
          <w:szCs w:val="22"/>
        </w:rPr>
        <w:t xml:space="preserve"> </w:t>
      </w:r>
      <w:r w:rsidRPr="00CD2255">
        <w:rPr>
          <w:rFonts w:ascii="Times New Roman" w:hAnsi="Times New Roman" w:cs="Times New Roman"/>
          <w:sz w:val="22"/>
          <w:szCs w:val="22"/>
        </w:rPr>
        <w:t xml:space="preserve">state, and local laws pursuant to </w:t>
      </w:r>
      <w:r>
        <w:rPr>
          <w:rFonts w:ascii="Times New Roman" w:hAnsi="Times New Roman" w:cs="Times New Roman"/>
          <w:sz w:val="22"/>
          <w:szCs w:val="22"/>
        </w:rPr>
        <w:t>w</w:t>
      </w:r>
      <w:r w:rsidRPr="00CD2255">
        <w:rPr>
          <w:rFonts w:ascii="Times New Roman" w:hAnsi="Times New Roman" w:cs="Times New Roman"/>
          <w:sz w:val="22"/>
          <w:szCs w:val="22"/>
        </w:rPr>
        <w:t>hich you have or may have a legal obligation to incur</w:t>
      </w:r>
      <w:r>
        <w:rPr>
          <w:rFonts w:ascii="Times New Roman" w:hAnsi="Times New Roman" w:cs="Times New Roman"/>
          <w:sz w:val="22"/>
          <w:szCs w:val="22"/>
        </w:rPr>
        <w:t xml:space="preserve"> </w:t>
      </w:r>
      <w:r w:rsidRPr="00CD2255">
        <w:rPr>
          <w:rFonts w:ascii="Times New Roman" w:hAnsi="Times New Roman" w:cs="Times New Roman"/>
          <w:sz w:val="22"/>
          <w:szCs w:val="22"/>
        </w:rPr>
        <w:t>Clean-Up Costs for On-Site or Off-Site Pollution Conditions or a Pollution Release,</w:t>
      </w:r>
      <w:r>
        <w:rPr>
          <w:rFonts w:ascii="Times New Roman" w:hAnsi="Times New Roman" w:cs="Times New Roman"/>
          <w:sz w:val="22"/>
          <w:szCs w:val="22"/>
        </w:rPr>
        <w:t xml:space="preserve"> </w:t>
      </w:r>
      <w:r w:rsidRPr="00CD2255">
        <w:rPr>
          <w:rFonts w:ascii="Times New Roman" w:hAnsi="Times New Roman" w:cs="Times New Roman"/>
          <w:sz w:val="22"/>
          <w:szCs w:val="22"/>
        </w:rPr>
        <w:t>including but not limited to the: Comprehensive Environmental Response Compensation</w:t>
      </w:r>
      <w:r>
        <w:rPr>
          <w:rFonts w:ascii="Times New Roman" w:hAnsi="Times New Roman" w:cs="Times New Roman"/>
          <w:sz w:val="22"/>
          <w:szCs w:val="22"/>
        </w:rPr>
        <w:t xml:space="preserve"> </w:t>
      </w:r>
      <w:r w:rsidRPr="00CD2255">
        <w:rPr>
          <w:rFonts w:ascii="Times New Roman" w:hAnsi="Times New Roman" w:cs="Times New Roman"/>
          <w:sz w:val="22"/>
          <w:szCs w:val="22"/>
        </w:rPr>
        <w:t>and Liability Act of 1980 (CERCLA), as amended by the Superfund Amendments and</w:t>
      </w:r>
      <w:r>
        <w:rPr>
          <w:rFonts w:ascii="Times New Roman" w:hAnsi="Times New Roman" w:cs="Times New Roman"/>
          <w:sz w:val="22"/>
          <w:szCs w:val="22"/>
        </w:rPr>
        <w:t xml:space="preserve"> </w:t>
      </w:r>
      <w:r w:rsidRPr="00FB3FDB">
        <w:rPr>
          <w:rFonts w:ascii="Times New Roman" w:hAnsi="Times New Roman" w:cs="Times New Roman"/>
          <w:sz w:val="22"/>
          <w:szCs w:val="22"/>
        </w:rPr>
        <w:t>Reauthorization Act of 1986 (SARA), 42 U.S.C. 9601-9675</w:t>
      </w:r>
      <w:r>
        <w:rPr>
          <w:rFonts w:ascii="Times New Roman" w:hAnsi="Times New Roman" w:cs="Times New Roman"/>
          <w:sz w:val="22"/>
          <w:szCs w:val="22"/>
        </w:rPr>
        <w:t>.”</w:t>
      </w:r>
    </w:p>
    <w:p w14:paraId="6E9F372E" w14:textId="77777777" w:rsidR="00FC046A" w:rsidRPr="006D1E5E" w:rsidRDefault="00FC046A">
      <w:pPr>
        <w:pStyle w:val="EndnoteText"/>
        <w:rPr>
          <w:rFonts w:ascii="Times New Roman" w:hAnsi="Times New Roman" w:cs="Times New Roman"/>
          <w:sz w:val="22"/>
          <w:szCs w:val="22"/>
        </w:rPr>
      </w:pPr>
    </w:p>
  </w:endnote>
  <w:endnote w:id="157">
    <w:p w14:paraId="6D14D246" w14:textId="100FAABF" w:rsidR="00FC046A" w:rsidRDefault="00FC046A" w:rsidP="000C337B">
      <w:pPr>
        <w:pStyle w:val="EndnoteText"/>
      </w:pPr>
      <w:r w:rsidRPr="0011546E">
        <w:rPr>
          <w:rStyle w:val="EndnoteReference"/>
          <w:rFonts w:ascii="Times New Roman" w:hAnsi="Times New Roman" w:cs="Times New Roman"/>
          <w:sz w:val="22"/>
          <w:szCs w:val="22"/>
        </w:rPr>
        <w:endnoteRef/>
      </w:r>
      <w:r w:rsidRPr="0011546E">
        <w:rPr>
          <w:rFonts w:ascii="Times New Roman" w:hAnsi="Times New Roman" w:cs="Times New Roman"/>
          <w:sz w:val="22"/>
          <w:szCs w:val="22"/>
        </w:rPr>
        <w:t xml:space="preserve"> Even if the </w:t>
      </w:r>
      <w:r>
        <w:rPr>
          <w:rFonts w:ascii="Times New Roman" w:hAnsi="Times New Roman" w:cs="Times New Roman"/>
          <w:sz w:val="22"/>
          <w:szCs w:val="22"/>
        </w:rPr>
        <w:t xml:space="preserve">Peak </w:t>
      </w:r>
      <w:r w:rsidRPr="0011546E">
        <w:rPr>
          <w:rFonts w:ascii="Times New Roman" w:hAnsi="Times New Roman" w:cs="Times New Roman"/>
          <w:sz w:val="22"/>
          <w:szCs w:val="22"/>
        </w:rPr>
        <w:t xml:space="preserve">insureds </w:t>
      </w:r>
      <w:r>
        <w:rPr>
          <w:rFonts w:ascii="Times New Roman" w:hAnsi="Times New Roman" w:cs="Times New Roman"/>
          <w:sz w:val="22"/>
          <w:szCs w:val="22"/>
        </w:rPr>
        <w:t xml:space="preserve">had </w:t>
      </w:r>
      <w:r w:rsidRPr="0011546E">
        <w:rPr>
          <w:rFonts w:ascii="Times New Roman" w:hAnsi="Times New Roman" w:cs="Times New Roman"/>
          <w:sz w:val="22"/>
          <w:szCs w:val="22"/>
        </w:rPr>
        <w:t xml:space="preserve">been before the Court, </w:t>
      </w:r>
      <w:r>
        <w:rPr>
          <w:rFonts w:ascii="Times New Roman" w:hAnsi="Times New Roman" w:cs="Times New Roman"/>
          <w:sz w:val="22"/>
          <w:szCs w:val="22"/>
        </w:rPr>
        <w:t xml:space="preserve">the appropriate test for determining whether a trade or business </w:t>
      </w:r>
      <w:r w:rsidRPr="000557F8">
        <w:rPr>
          <w:rFonts w:ascii="Times New Roman" w:hAnsi="Times New Roman" w:cs="Times New Roman"/>
          <w:sz w:val="22"/>
          <w:szCs w:val="22"/>
        </w:rPr>
        <w:t>expense is deductible under Section 162 i</w:t>
      </w:r>
      <w:r>
        <w:rPr>
          <w:rFonts w:ascii="Times New Roman" w:hAnsi="Times New Roman" w:cs="Times New Roman"/>
          <w:sz w:val="22"/>
          <w:szCs w:val="22"/>
        </w:rPr>
        <w:t>s</w:t>
      </w:r>
      <w:r w:rsidRPr="000557F8">
        <w:rPr>
          <w:rFonts w:ascii="Times New Roman" w:hAnsi="Times New Roman" w:cs="Times New Roman"/>
          <w:sz w:val="22"/>
          <w:szCs w:val="22"/>
        </w:rPr>
        <w:t xml:space="preserve"> whether that expense is “ordinary and necessary.”  The term “necessary,” for purposes of §162, means that the expense is appropriate and helpful, rather than absolutely essential. See </w:t>
      </w:r>
      <w:r w:rsidRPr="000C337B">
        <w:rPr>
          <w:rFonts w:ascii="Times New Roman" w:hAnsi="Times New Roman" w:cs="Times New Roman"/>
          <w:i/>
          <w:sz w:val="22"/>
          <w:szCs w:val="22"/>
        </w:rPr>
        <w:t>Lilly v. Commissioner</w:t>
      </w:r>
      <w:r w:rsidRPr="000557F8">
        <w:rPr>
          <w:rFonts w:ascii="Times New Roman" w:hAnsi="Times New Roman" w:cs="Times New Roman"/>
          <w:sz w:val="22"/>
          <w:szCs w:val="22"/>
        </w:rPr>
        <w:t>, 343 U.S. 90 (1952), red’s 188 F.2d 269 (4th Cir. 1951), aff'g 14 T.C. 1066 (1950).</w:t>
      </w:r>
      <w:r>
        <w:rPr>
          <w:rFonts w:ascii="Times New Roman" w:hAnsi="Times New Roman" w:cs="Times New Roman"/>
          <w:sz w:val="22"/>
          <w:szCs w:val="22"/>
        </w:rPr>
        <w:t xml:space="preserve">  </w:t>
      </w:r>
      <w:r w:rsidRPr="000557F8">
        <w:rPr>
          <w:rFonts w:ascii="Times New Roman" w:hAnsi="Times New Roman" w:cs="Times New Roman"/>
          <w:sz w:val="22"/>
          <w:szCs w:val="22"/>
        </w:rPr>
        <w:t xml:space="preserve">The Tax Court </w:t>
      </w:r>
      <w:r>
        <w:rPr>
          <w:rFonts w:ascii="Times New Roman" w:hAnsi="Times New Roman" w:cs="Times New Roman"/>
          <w:sz w:val="22"/>
          <w:szCs w:val="22"/>
        </w:rPr>
        <w:t xml:space="preserve">has </w:t>
      </w:r>
      <w:r w:rsidRPr="000557F8">
        <w:rPr>
          <w:rFonts w:ascii="Times New Roman" w:hAnsi="Times New Roman" w:cs="Times New Roman"/>
          <w:sz w:val="22"/>
          <w:szCs w:val="22"/>
        </w:rPr>
        <w:t xml:space="preserve">held that an expense could be necessary even though there are other ways of attaining the </w:t>
      </w:r>
      <w:r w:rsidRPr="00CF65F7">
        <w:rPr>
          <w:rFonts w:ascii="Times New Roman" w:hAnsi="Times New Roman" w:cs="Times New Roman"/>
          <w:sz w:val="22"/>
          <w:szCs w:val="22"/>
        </w:rPr>
        <w:t xml:space="preserve">same result.  See </w:t>
      </w:r>
      <w:r w:rsidRPr="00CF65F7">
        <w:rPr>
          <w:rFonts w:ascii="Times New Roman" w:hAnsi="Times New Roman" w:cs="Times New Roman"/>
          <w:i/>
          <w:sz w:val="22"/>
          <w:szCs w:val="22"/>
        </w:rPr>
        <w:t>United Title Ins. Co. v. Commissioner</w:t>
      </w:r>
      <w:r w:rsidRPr="00CF65F7">
        <w:rPr>
          <w:rFonts w:ascii="Times New Roman" w:hAnsi="Times New Roman" w:cs="Times New Roman"/>
          <w:sz w:val="22"/>
          <w:szCs w:val="22"/>
        </w:rPr>
        <w:t>, T.C. Memo 1988-38 at 46-47).</w:t>
      </w:r>
      <w:r>
        <w:rPr>
          <w:rFonts w:ascii="Times New Roman" w:hAnsi="Times New Roman" w:cs="Times New Roman"/>
          <w:sz w:val="22"/>
          <w:szCs w:val="22"/>
        </w:rPr>
        <w:t xml:space="preserve">  </w:t>
      </w:r>
      <w:r w:rsidRPr="001A4274">
        <w:rPr>
          <w:rFonts w:ascii="Times New Roman" w:hAnsi="Times New Roman" w:cs="Times New Roman"/>
          <w:sz w:val="22"/>
          <w:szCs w:val="22"/>
        </w:rPr>
        <w:t xml:space="preserve">The amounts incurred by Peak to purchase pollution insurance from Reserve </w:t>
      </w:r>
      <w:r>
        <w:rPr>
          <w:rFonts w:ascii="Times New Roman" w:hAnsi="Times New Roman" w:cs="Times New Roman"/>
          <w:sz w:val="22"/>
          <w:szCs w:val="22"/>
        </w:rPr>
        <w:t xml:space="preserve">clearly </w:t>
      </w:r>
      <w:r w:rsidRPr="001A4274">
        <w:rPr>
          <w:rFonts w:ascii="Times New Roman" w:hAnsi="Times New Roman" w:cs="Times New Roman"/>
          <w:sz w:val="22"/>
          <w:szCs w:val="22"/>
        </w:rPr>
        <w:t>met the standards required for an expense to be deductible under Section 162.</w:t>
      </w:r>
    </w:p>
    <w:p w14:paraId="52D3BD4B" w14:textId="77777777" w:rsidR="00FC046A" w:rsidRPr="000557F8" w:rsidRDefault="00FC046A">
      <w:pPr>
        <w:pStyle w:val="EndnoteText"/>
        <w:rPr>
          <w:rFonts w:ascii="Times New Roman" w:hAnsi="Times New Roman" w:cs="Times New Roman"/>
          <w:sz w:val="22"/>
          <w:szCs w:val="22"/>
        </w:rPr>
      </w:pPr>
    </w:p>
  </w:endnote>
  <w:endnote w:id="158">
    <w:p w14:paraId="2011B573" w14:textId="191F5EDA" w:rsidR="00FC046A" w:rsidRDefault="00FC046A" w:rsidP="009D4DE6">
      <w:pPr>
        <w:pStyle w:val="EndnoteText"/>
        <w:rPr>
          <w:rFonts w:ascii="Times New Roman" w:hAnsi="Times New Roman" w:cs="Times New Roman"/>
          <w:sz w:val="22"/>
          <w:szCs w:val="22"/>
        </w:rPr>
      </w:pPr>
      <w:r w:rsidRPr="006D1E5E">
        <w:rPr>
          <w:rStyle w:val="EndnoteReference"/>
          <w:rFonts w:ascii="Times New Roman" w:hAnsi="Times New Roman" w:cs="Times New Roman"/>
          <w:sz w:val="22"/>
          <w:szCs w:val="22"/>
        </w:rPr>
        <w:endnoteRef/>
      </w:r>
      <w:r w:rsidRPr="006D1E5E">
        <w:rPr>
          <w:rFonts w:ascii="Times New Roman" w:hAnsi="Times New Roman" w:cs="Times New Roman"/>
          <w:sz w:val="22"/>
          <w:szCs w:val="22"/>
        </w:rPr>
        <w:t xml:space="preserve"> </w:t>
      </w:r>
      <w:r w:rsidRPr="008E6EA3">
        <w:rPr>
          <w:rFonts w:ascii="Times New Roman" w:hAnsi="Times New Roman" w:cs="Times New Roman"/>
          <w:sz w:val="22"/>
          <w:szCs w:val="22"/>
        </w:rPr>
        <w:t xml:space="preserve">See testimony of Norman Zumbaum, </w:t>
      </w:r>
      <w:r>
        <w:rPr>
          <w:rFonts w:ascii="Times New Roman" w:hAnsi="Times New Roman" w:cs="Times New Roman"/>
          <w:sz w:val="22"/>
          <w:szCs w:val="22"/>
        </w:rPr>
        <w:t>Tr.</w:t>
      </w:r>
      <w:r w:rsidRPr="008E6EA3">
        <w:rPr>
          <w:rFonts w:ascii="Times New Roman" w:hAnsi="Times New Roman" w:cs="Times New Roman"/>
          <w:sz w:val="22"/>
          <w:szCs w:val="22"/>
        </w:rPr>
        <w:t xml:space="preserve"> at 1</w:t>
      </w:r>
      <w:r>
        <w:rPr>
          <w:rFonts w:ascii="Times New Roman" w:hAnsi="Times New Roman" w:cs="Times New Roman"/>
          <w:sz w:val="22"/>
          <w:szCs w:val="22"/>
        </w:rPr>
        <w:t>23-124 where Mr. Zumbaum testified that “</w:t>
      </w:r>
      <w:r w:rsidRPr="00E84752">
        <w:rPr>
          <w:rFonts w:ascii="Times New Roman" w:hAnsi="Times New Roman" w:cs="Times New Roman"/>
          <w:sz w:val="22"/>
          <w:szCs w:val="22"/>
        </w:rPr>
        <w:t>I think in the valley we probably</w:t>
      </w:r>
      <w:r>
        <w:rPr>
          <w:rFonts w:ascii="Times New Roman" w:hAnsi="Times New Roman" w:cs="Times New Roman"/>
          <w:sz w:val="22"/>
          <w:szCs w:val="22"/>
        </w:rPr>
        <w:t xml:space="preserve"> </w:t>
      </w:r>
      <w:r w:rsidRPr="00E84752">
        <w:rPr>
          <w:rFonts w:ascii="Times New Roman" w:hAnsi="Times New Roman" w:cs="Times New Roman"/>
          <w:sz w:val="22"/>
          <w:szCs w:val="22"/>
        </w:rPr>
        <w:t>couldn</w:t>
      </w:r>
      <w:r>
        <w:rPr>
          <w:rFonts w:ascii="Times New Roman" w:hAnsi="Times New Roman" w:cs="Times New Roman"/>
          <w:sz w:val="22"/>
          <w:szCs w:val="22"/>
        </w:rPr>
        <w:t>’</w:t>
      </w:r>
      <w:r w:rsidRPr="00E84752">
        <w:rPr>
          <w:rFonts w:ascii="Times New Roman" w:hAnsi="Times New Roman" w:cs="Times New Roman"/>
          <w:sz w:val="22"/>
          <w:szCs w:val="22"/>
        </w:rPr>
        <w:t>t get pollution insurance</w:t>
      </w:r>
      <w:r>
        <w:rPr>
          <w:rFonts w:ascii="Times New Roman" w:hAnsi="Times New Roman" w:cs="Times New Roman"/>
          <w:sz w:val="22"/>
          <w:szCs w:val="22"/>
        </w:rPr>
        <w:t>” due to Peak being located in a “Superfund site.”  Mr. Zumbaum testified that he didn’t know “of any insurance companies in Idaho that would provide any insurance coverage to companies like Peak in 2008, 2009, and 2010.”  Further, the feasibility study that was issued to Peak contained the following statement on page 20 of the study: “</w:t>
      </w:r>
      <w:r w:rsidRPr="009D4DE6">
        <w:rPr>
          <w:rFonts w:ascii="Times New Roman" w:hAnsi="Times New Roman" w:cs="Times New Roman"/>
          <w:sz w:val="22"/>
          <w:szCs w:val="22"/>
        </w:rPr>
        <w:t xml:space="preserve">A major risk exposure is </w:t>
      </w:r>
      <w:r w:rsidRPr="002C7832">
        <w:rPr>
          <w:rFonts w:ascii="Times New Roman" w:hAnsi="Times New Roman" w:cs="Times New Roman"/>
          <w:sz w:val="22"/>
          <w:szCs w:val="22"/>
          <w:u w:val="single"/>
        </w:rPr>
        <w:t>pollution liability</w:t>
      </w:r>
      <w:r w:rsidRPr="009D4DE6">
        <w:rPr>
          <w:rFonts w:ascii="Times New Roman" w:hAnsi="Times New Roman" w:cs="Times New Roman"/>
          <w:sz w:val="22"/>
          <w:szCs w:val="22"/>
        </w:rPr>
        <w:t xml:space="preserve"> which is excluded from all underlying policies. In</w:t>
      </w:r>
      <w:r>
        <w:rPr>
          <w:rFonts w:ascii="Times New Roman" w:hAnsi="Times New Roman" w:cs="Times New Roman"/>
          <w:sz w:val="22"/>
          <w:szCs w:val="22"/>
        </w:rPr>
        <w:t xml:space="preserve"> </w:t>
      </w:r>
      <w:r w:rsidRPr="009D4DE6">
        <w:rPr>
          <w:rFonts w:ascii="Times New Roman" w:hAnsi="Times New Roman" w:cs="Times New Roman"/>
          <w:sz w:val="22"/>
          <w:szCs w:val="22"/>
        </w:rPr>
        <w:t>addition to the pollution risk of its own manufacturing and remanufacturing operations, there</w:t>
      </w:r>
      <w:r>
        <w:rPr>
          <w:rFonts w:ascii="Times New Roman" w:hAnsi="Times New Roman" w:cs="Times New Roman"/>
          <w:sz w:val="22"/>
          <w:szCs w:val="22"/>
        </w:rPr>
        <w:t xml:space="preserve"> </w:t>
      </w:r>
      <w:r w:rsidRPr="009D4DE6">
        <w:rPr>
          <w:rFonts w:ascii="Times New Roman" w:hAnsi="Times New Roman" w:cs="Times New Roman"/>
          <w:sz w:val="22"/>
          <w:szCs w:val="22"/>
        </w:rPr>
        <w:t>is an indeterminable pollution risk with its mining and other underground products should</w:t>
      </w:r>
      <w:r>
        <w:rPr>
          <w:rFonts w:ascii="Times New Roman" w:hAnsi="Times New Roman" w:cs="Times New Roman"/>
          <w:sz w:val="22"/>
          <w:szCs w:val="22"/>
        </w:rPr>
        <w:t xml:space="preserve"> </w:t>
      </w:r>
      <w:r w:rsidRPr="009D4DE6">
        <w:rPr>
          <w:rFonts w:ascii="Times New Roman" w:hAnsi="Times New Roman" w:cs="Times New Roman"/>
          <w:sz w:val="22"/>
          <w:szCs w:val="22"/>
        </w:rPr>
        <w:t>a product failure be the catalyst for a pollution incident at a customer</w:t>
      </w:r>
      <w:r>
        <w:rPr>
          <w:rFonts w:ascii="Times New Roman" w:hAnsi="Times New Roman" w:cs="Times New Roman"/>
          <w:sz w:val="22"/>
          <w:szCs w:val="22"/>
        </w:rPr>
        <w:t>’</w:t>
      </w:r>
      <w:r w:rsidRPr="009D4DE6">
        <w:rPr>
          <w:rFonts w:ascii="Times New Roman" w:hAnsi="Times New Roman" w:cs="Times New Roman"/>
          <w:sz w:val="22"/>
          <w:szCs w:val="22"/>
        </w:rPr>
        <w:t>s work site.</w:t>
      </w:r>
      <w:r>
        <w:rPr>
          <w:rFonts w:ascii="Times New Roman" w:hAnsi="Times New Roman" w:cs="Times New Roman"/>
          <w:sz w:val="22"/>
          <w:szCs w:val="22"/>
        </w:rPr>
        <w:t>” (Emphasis added).</w:t>
      </w:r>
    </w:p>
    <w:p w14:paraId="626AB007" w14:textId="77777777" w:rsidR="00FC046A" w:rsidRPr="006D1E5E" w:rsidRDefault="00FC046A" w:rsidP="009D4DE6">
      <w:pPr>
        <w:pStyle w:val="EndnoteText"/>
        <w:rPr>
          <w:rFonts w:ascii="Times New Roman" w:hAnsi="Times New Roman" w:cs="Times New Roman"/>
          <w:sz w:val="22"/>
          <w:szCs w:val="22"/>
        </w:rPr>
      </w:pPr>
    </w:p>
  </w:endnote>
  <w:endnote w:id="159">
    <w:p w14:paraId="31EFDFAD" w14:textId="5EB09A54" w:rsidR="00FC046A" w:rsidRDefault="00FC046A" w:rsidP="009C7C2C">
      <w:pPr>
        <w:pStyle w:val="EndnoteText"/>
        <w:rPr>
          <w:rFonts w:ascii="Times New Roman" w:hAnsi="Times New Roman" w:cs="Times New Roman"/>
          <w:sz w:val="22"/>
          <w:szCs w:val="22"/>
        </w:rPr>
      </w:pPr>
      <w:r w:rsidRPr="00E51D70">
        <w:rPr>
          <w:rStyle w:val="EndnoteReference"/>
          <w:rFonts w:ascii="Times New Roman" w:hAnsi="Times New Roman" w:cs="Times New Roman"/>
          <w:sz w:val="22"/>
          <w:szCs w:val="22"/>
        </w:rPr>
        <w:endnoteRef/>
      </w:r>
      <w:r w:rsidRPr="00E51D70">
        <w:rPr>
          <w:rFonts w:ascii="Times New Roman" w:hAnsi="Times New Roman" w:cs="Times New Roman"/>
          <w:sz w:val="22"/>
          <w:szCs w:val="22"/>
        </w:rPr>
        <w:t xml:space="preserve"> </w:t>
      </w:r>
      <w:r>
        <w:rPr>
          <w:rFonts w:ascii="Times New Roman" w:hAnsi="Times New Roman" w:cs="Times New Roman"/>
          <w:sz w:val="22"/>
          <w:szCs w:val="22"/>
        </w:rPr>
        <w:t xml:space="preserve">The </w:t>
      </w:r>
      <w:r w:rsidRPr="0095473C">
        <w:rPr>
          <w:rFonts w:ascii="Times New Roman" w:hAnsi="Times New Roman" w:cs="Times New Roman"/>
          <w:sz w:val="22"/>
          <w:szCs w:val="22"/>
        </w:rPr>
        <w:t xml:space="preserve">feasibility study for the Peak insureds, which was issued jointly by Capstone and Willis, was based on </w:t>
      </w:r>
      <w:r>
        <w:rPr>
          <w:rFonts w:ascii="Times New Roman" w:hAnsi="Times New Roman" w:cs="Times New Roman"/>
          <w:sz w:val="22"/>
          <w:szCs w:val="22"/>
        </w:rPr>
        <w:t xml:space="preserve">an </w:t>
      </w:r>
      <w:r w:rsidRPr="0095473C">
        <w:rPr>
          <w:rFonts w:ascii="Times New Roman" w:hAnsi="Times New Roman" w:cs="Times New Roman"/>
          <w:sz w:val="22"/>
          <w:szCs w:val="22"/>
        </w:rPr>
        <w:t>on-site examination of Peak’s operations conducted in both Osborn and Hayden Lake, Idaho.  The 52-page study</w:t>
      </w:r>
      <w:r>
        <w:rPr>
          <w:rFonts w:ascii="Times New Roman" w:hAnsi="Times New Roman" w:cs="Times New Roman"/>
          <w:sz w:val="22"/>
          <w:szCs w:val="22"/>
        </w:rPr>
        <w:t xml:space="preserve"> described the risk management issues faced by Peak with respect to risks for which Peak did not have existing coverages.  See Exhibit 16-J </w:t>
      </w:r>
      <w:r w:rsidRPr="002C7C6A">
        <w:rPr>
          <w:rFonts w:ascii="Times New Roman" w:hAnsi="Times New Roman" w:cs="Times New Roman"/>
          <w:sz w:val="22"/>
          <w:szCs w:val="22"/>
        </w:rPr>
        <w:t>(Captive Insurance Feasibility Study for Peak Mechanical &amp; Components, Inc., Initial Site Visit: August 13, 2008)</w:t>
      </w:r>
      <w:r>
        <w:rPr>
          <w:rFonts w:ascii="Times New Roman" w:hAnsi="Times New Roman" w:cs="Times New Roman"/>
          <w:sz w:val="22"/>
          <w:szCs w:val="22"/>
        </w:rPr>
        <w:t>, at 19-21.</w:t>
      </w:r>
    </w:p>
    <w:p w14:paraId="5A64AF3C" w14:textId="77777777" w:rsidR="00FC046A" w:rsidRPr="00E51D70" w:rsidRDefault="00FC046A" w:rsidP="009C7C2C">
      <w:pPr>
        <w:pStyle w:val="EndnoteText"/>
        <w:rPr>
          <w:rFonts w:ascii="Times New Roman" w:hAnsi="Times New Roman" w:cs="Times New Roman"/>
          <w:sz w:val="22"/>
          <w:szCs w:val="22"/>
        </w:rPr>
      </w:pPr>
    </w:p>
  </w:endnote>
  <w:endnote w:id="160">
    <w:p w14:paraId="478C1476" w14:textId="791DC81F" w:rsidR="00FC046A" w:rsidRDefault="00FC046A" w:rsidP="00DE43B6">
      <w:pPr>
        <w:pStyle w:val="EndnoteText"/>
        <w:rPr>
          <w:rFonts w:ascii="Times New Roman" w:hAnsi="Times New Roman" w:cs="Times New Roman"/>
          <w:sz w:val="22"/>
          <w:szCs w:val="22"/>
        </w:rPr>
      </w:pPr>
      <w:r w:rsidRPr="004055D8">
        <w:rPr>
          <w:rStyle w:val="EndnoteReference"/>
          <w:rFonts w:ascii="Times New Roman" w:hAnsi="Times New Roman" w:cs="Times New Roman"/>
          <w:sz w:val="22"/>
          <w:szCs w:val="22"/>
        </w:rPr>
        <w:endnoteRef/>
      </w:r>
      <w:r>
        <w:rPr>
          <w:rFonts w:ascii="Times New Roman" w:hAnsi="Times New Roman" w:cs="Times New Roman"/>
          <w:sz w:val="22"/>
          <w:szCs w:val="22"/>
        </w:rPr>
        <w:t xml:space="preserve"> </w:t>
      </w:r>
      <w:r w:rsidRPr="00024DB2">
        <w:rPr>
          <w:rFonts w:ascii="Times New Roman" w:hAnsi="Times New Roman" w:cs="Times New Roman"/>
          <w:sz w:val="22"/>
          <w:szCs w:val="22"/>
        </w:rPr>
        <w:t xml:space="preserve">See testimony of Norman Zumbaum, </w:t>
      </w:r>
      <w:r>
        <w:rPr>
          <w:rFonts w:ascii="Times New Roman" w:hAnsi="Times New Roman" w:cs="Times New Roman"/>
          <w:sz w:val="22"/>
          <w:szCs w:val="22"/>
        </w:rPr>
        <w:t>Tr.</w:t>
      </w:r>
      <w:r w:rsidRPr="00024DB2">
        <w:rPr>
          <w:rFonts w:ascii="Times New Roman" w:hAnsi="Times New Roman" w:cs="Times New Roman"/>
          <w:sz w:val="22"/>
          <w:szCs w:val="22"/>
        </w:rPr>
        <w:t xml:space="preserve"> at 123-124 where Mr. Zumbaum testified that </w:t>
      </w:r>
      <w:r>
        <w:rPr>
          <w:rFonts w:ascii="Times New Roman" w:hAnsi="Times New Roman" w:cs="Times New Roman"/>
          <w:sz w:val="22"/>
          <w:szCs w:val="22"/>
        </w:rPr>
        <w:t>Peak was unable to</w:t>
      </w:r>
      <w:r w:rsidRPr="00024DB2">
        <w:rPr>
          <w:rFonts w:ascii="Times New Roman" w:hAnsi="Times New Roman" w:cs="Times New Roman"/>
          <w:sz w:val="22"/>
          <w:szCs w:val="22"/>
        </w:rPr>
        <w:t xml:space="preserve"> get pollution insurance due to Peak being located in a “Superfund site”</w:t>
      </w:r>
      <w:r>
        <w:rPr>
          <w:rFonts w:ascii="Times New Roman" w:hAnsi="Times New Roman" w:cs="Times New Roman"/>
          <w:sz w:val="22"/>
          <w:szCs w:val="22"/>
        </w:rPr>
        <w:t xml:space="preserve"> and that </w:t>
      </w:r>
      <w:r w:rsidRPr="00024DB2">
        <w:rPr>
          <w:rFonts w:ascii="Times New Roman" w:hAnsi="Times New Roman" w:cs="Times New Roman"/>
          <w:sz w:val="22"/>
          <w:szCs w:val="22"/>
        </w:rPr>
        <w:t>he didn’t know “of any insurance companies in Idaho that would provide any insurance coverage to companies like Peak</w:t>
      </w:r>
      <w:r>
        <w:rPr>
          <w:rFonts w:ascii="Times New Roman" w:hAnsi="Times New Roman" w:cs="Times New Roman"/>
          <w:sz w:val="22"/>
          <w:szCs w:val="22"/>
        </w:rPr>
        <w:t>.  See also Tr. at 105-106, where Mr. Zumbaum testified that “</w:t>
      </w:r>
      <w:r w:rsidRPr="00CB046E">
        <w:rPr>
          <w:rFonts w:ascii="Times New Roman" w:hAnsi="Times New Roman" w:cs="Times New Roman"/>
          <w:sz w:val="22"/>
          <w:szCs w:val="22"/>
        </w:rPr>
        <w:t>mines in Silver</w:t>
      </w:r>
      <w:r>
        <w:rPr>
          <w:rFonts w:ascii="Times New Roman" w:hAnsi="Times New Roman" w:cs="Times New Roman"/>
          <w:sz w:val="22"/>
          <w:szCs w:val="22"/>
        </w:rPr>
        <w:t xml:space="preserve"> </w:t>
      </w:r>
      <w:r w:rsidRPr="00CB046E">
        <w:rPr>
          <w:rFonts w:ascii="Times New Roman" w:hAnsi="Times New Roman" w:cs="Times New Roman"/>
          <w:sz w:val="22"/>
          <w:szCs w:val="22"/>
        </w:rPr>
        <w:t>alley are dangerous places to work</w:t>
      </w:r>
      <w:r>
        <w:rPr>
          <w:rFonts w:ascii="Times New Roman" w:hAnsi="Times New Roman" w:cs="Times New Roman"/>
          <w:sz w:val="22"/>
          <w:szCs w:val="22"/>
        </w:rPr>
        <w:t>.”  Mr. Zumbaum also testified that “</w:t>
      </w:r>
      <w:r w:rsidRPr="00DE43B6">
        <w:rPr>
          <w:rFonts w:ascii="Times New Roman" w:hAnsi="Times New Roman" w:cs="Times New Roman"/>
          <w:sz w:val="22"/>
          <w:szCs w:val="22"/>
        </w:rPr>
        <w:t>My partner Corey, in his</w:t>
      </w:r>
      <w:r>
        <w:rPr>
          <w:rFonts w:ascii="Times New Roman" w:hAnsi="Times New Roman" w:cs="Times New Roman"/>
          <w:sz w:val="22"/>
          <w:szCs w:val="22"/>
        </w:rPr>
        <w:t xml:space="preserve"> </w:t>
      </w:r>
      <w:r w:rsidRPr="00DE43B6">
        <w:rPr>
          <w:rFonts w:ascii="Times New Roman" w:hAnsi="Times New Roman" w:cs="Times New Roman"/>
          <w:sz w:val="22"/>
          <w:szCs w:val="22"/>
        </w:rPr>
        <w:t xml:space="preserve">younger years </w:t>
      </w:r>
      <w:r w:rsidRPr="009871D4">
        <w:rPr>
          <w:rFonts w:ascii="Times New Roman" w:hAnsi="Times New Roman" w:cs="Times New Roman"/>
          <w:sz w:val="22"/>
          <w:szCs w:val="22"/>
        </w:rPr>
        <w:t>he was buried up to his neck in the mines at one time and thought he was going to lose his life. My dad, as a miner, he lost his partner that I know of, at least one, in a mining accident, and I've had numerous friends perish in the deep mines.”</w:t>
      </w:r>
    </w:p>
    <w:p w14:paraId="63F9CE21" w14:textId="77777777" w:rsidR="00FC046A" w:rsidRPr="00D155E1" w:rsidRDefault="00FC046A">
      <w:pPr>
        <w:pStyle w:val="EndnoteText"/>
        <w:rPr>
          <w:rFonts w:ascii="Times New Roman" w:hAnsi="Times New Roman" w:cs="Times New Roman"/>
          <w:sz w:val="22"/>
          <w:szCs w:val="22"/>
        </w:rPr>
      </w:pPr>
    </w:p>
  </w:endnote>
  <w:endnote w:id="161">
    <w:p w14:paraId="0165AAF9" w14:textId="360AF8DC" w:rsidR="00FC046A" w:rsidRPr="00753887" w:rsidRDefault="00FC046A" w:rsidP="00EA09A4">
      <w:pPr>
        <w:pStyle w:val="EndnoteText"/>
        <w:rPr>
          <w:rFonts w:ascii="Times New Roman" w:hAnsi="Times New Roman" w:cs="Times New Roman"/>
          <w:sz w:val="22"/>
          <w:szCs w:val="22"/>
        </w:rPr>
      </w:pPr>
      <w:r w:rsidRPr="00753887">
        <w:rPr>
          <w:rStyle w:val="EndnoteReference"/>
          <w:rFonts w:ascii="Times New Roman" w:hAnsi="Times New Roman" w:cs="Times New Roman"/>
          <w:sz w:val="22"/>
          <w:szCs w:val="22"/>
        </w:rPr>
        <w:endnoteRef/>
      </w:r>
      <w:r w:rsidRPr="00753887">
        <w:rPr>
          <w:rFonts w:ascii="Times New Roman" w:hAnsi="Times New Roman" w:cs="Times New Roman"/>
          <w:sz w:val="22"/>
          <w:szCs w:val="22"/>
        </w:rPr>
        <w:t xml:space="preserve"> </w:t>
      </w:r>
      <w:r w:rsidRPr="00A93D01">
        <w:rPr>
          <w:rFonts w:ascii="Times New Roman" w:hAnsi="Times New Roman" w:cs="Times New Roman"/>
          <w:sz w:val="22"/>
          <w:szCs w:val="22"/>
        </w:rPr>
        <w:t xml:space="preserve">See Exhibit 97-P (Expert Report of </w:t>
      </w:r>
      <w:r>
        <w:rPr>
          <w:rFonts w:ascii="Times New Roman" w:hAnsi="Times New Roman" w:cs="Times New Roman"/>
          <w:sz w:val="22"/>
          <w:szCs w:val="22"/>
        </w:rPr>
        <w:t xml:space="preserve">Robert </w:t>
      </w:r>
      <w:r w:rsidRPr="00A93D01">
        <w:rPr>
          <w:rFonts w:ascii="Times New Roman" w:hAnsi="Times New Roman" w:cs="Times New Roman"/>
          <w:sz w:val="22"/>
          <w:szCs w:val="22"/>
        </w:rPr>
        <w:t>Snyder, March 27, 2017).  Mr. Snyder</w:t>
      </w:r>
      <w:r>
        <w:rPr>
          <w:rFonts w:ascii="Times New Roman" w:hAnsi="Times New Roman" w:cs="Times New Roman"/>
          <w:sz w:val="22"/>
          <w:szCs w:val="22"/>
        </w:rPr>
        <w:t xml:space="preserve"> </w:t>
      </w:r>
      <w:r w:rsidRPr="00A93D01">
        <w:rPr>
          <w:rFonts w:ascii="Times New Roman" w:hAnsi="Times New Roman" w:cs="Times New Roman"/>
          <w:sz w:val="22"/>
          <w:szCs w:val="22"/>
        </w:rPr>
        <w:t xml:space="preserve">concluded at </w:t>
      </w:r>
      <w:r>
        <w:rPr>
          <w:rFonts w:ascii="Times New Roman" w:hAnsi="Times New Roman" w:cs="Times New Roman"/>
          <w:sz w:val="22"/>
          <w:szCs w:val="22"/>
        </w:rPr>
        <w:t xml:space="preserve">page </w:t>
      </w:r>
      <w:r w:rsidRPr="00A93D01">
        <w:rPr>
          <w:rFonts w:ascii="Times New Roman" w:hAnsi="Times New Roman" w:cs="Times New Roman"/>
          <w:sz w:val="22"/>
          <w:szCs w:val="22"/>
        </w:rPr>
        <w:t xml:space="preserve">2 that “The policies Reserve issued to Peak and the Affiliated Businesses during 2008, 2009 and 2010 covered insurable risks of Peak and the Affiliated Businesses because these were risks of Peak and the Affiliated Businesses that the insurance industry considers to be insurable risks.”  </w:t>
      </w:r>
      <w:r>
        <w:rPr>
          <w:rFonts w:ascii="Times New Roman" w:hAnsi="Times New Roman" w:cs="Times New Roman"/>
          <w:sz w:val="22"/>
          <w:szCs w:val="22"/>
        </w:rPr>
        <w:t xml:space="preserve">At </w:t>
      </w:r>
      <w:r w:rsidRPr="00A93D01">
        <w:rPr>
          <w:rFonts w:ascii="Times New Roman" w:hAnsi="Times New Roman" w:cs="Times New Roman"/>
          <w:sz w:val="22"/>
          <w:szCs w:val="22"/>
        </w:rPr>
        <w:t>7-11</w:t>
      </w:r>
      <w:r>
        <w:rPr>
          <w:rFonts w:ascii="Times New Roman" w:hAnsi="Times New Roman" w:cs="Times New Roman"/>
          <w:sz w:val="22"/>
          <w:szCs w:val="22"/>
        </w:rPr>
        <w:t xml:space="preserve">, </w:t>
      </w:r>
      <w:r w:rsidRPr="00A93D01">
        <w:rPr>
          <w:rFonts w:ascii="Times New Roman" w:hAnsi="Times New Roman" w:cs="Times New Roman"/>
          <w:sz w:val="22"/>
          <w:szCs w:val="22"/>
        </w:rPr>
        <w:t xml:space="preserve">Mr. Snyder analyzed each of Reserve’s direct written coverages and explained in detail precisely why each of Reserve’s 15 </w:t>
      </w:r>
      <w:r>
        <w:rPr>
          <w:rFonts w:ascii="Times New Roman" w:hAnsi="Times New Roman" w:cs="Times New Roman"/>
          <w:sz w:val="22"/>
          <w:szCs w:val="22"/>
        </w:rPr>
        <w:t xml:space="preserve">distinct </w:t>
      </w:r>
      <w:r w:rsidRPr="00A93D01">
        <w:rPr>
          <w:rFonts w:ascii="Times New Roman" w:hAnsi="Times New Roman" w:cs="Times New Roman"/>
          <w:sz w:val="22"/>
          <w:szCs w:val="22"/>
        </w:rPr>
        <w:t>policies was suitable to Peak’s unique risks in the mining industry.  At 7, Mr. Snyder explain</w:t>
      </w:r>
      <w:r>
        <w:rPr>
          <w:rFonts w:ascii="Times New Roman" w:hAnsi="Times New Roman" w:cs="Times New Roman"/>
          <w:sz w:val="22"/>
          <w:szCs w:val="22"/>
        </w:rPr>
        <w:t xml:space="preserve">ed </w:t>
      </w:r>
      <w:r w:rsidRPr="00A93D01">
        <w:rPr>
          <w:rFonts w:ascii="Times New Roman" w:hAnsi="Times New Roman" w:cs="Times New Roman"/>
          <w:sz w:val="22"/>
          <w:szCs w:val="22"/>
        </w:rPr>
        <w:t xml:space="preserve">why each </w:t>
      </w:r>
      <w:r>
        <w:rPr>
          <w:rFonts w:ascii="Times New Roman" w:hAnsi="Times New Roman" w:cs="Times New Roman"/>
          <w:sz w:val="22"/>
          <w:szCs w:val="22"/>
        </w:rPr>
        <w:t xml:space="preserve">was </w:t>
      </w:r>
      <w:r w:rsidRPr="00A93D01">
        <w:rPr>
          <w:rFonts w:ascii="Times New Roman" w:hAnsi="Times New Roman" w:cs="Times New Roman"/>
          <w:sz w:val="22"/>
          <w:szCs w:val="22"/>
        </w:rPr>
        <w:t>appropriate to Peak’s unique risk management issues:  “Peak was vulnerable to changes in the economics and regulations in the mining industry since 100% of its business is derived from mining. Unlike many of its competitors that have a more diversified customer base, Peak faced a severe risk exposure associated with loss of revenue resulting from changes in this single industry. Delineated below are the key risks that the Captive Insurance Company Feasibility Study- 2009 identified for potential to be insured through a captive insurer.</w:t>
      </w:r>
      <w:r>
        <w:rPr>
          <w:rFonts w:ascii="Times New Roman" w:hAnsi="Times New Roman" w:cs="Times New Roman"/>
          <w:sz w:val="22"/>
          <w:szCs w:val="22"/>
        </w:rPr>
        <w:t>”  Finally, at 13-16, Mr. Snyder provided detailed illustrations of why each of 6 different policies were directly relevant to Peak’s risk management needs.</w:t>
      </w:r>
    </w:p>
    <w:p w14:paraId="345CC3E9" w14:textId="77777777" w:rsidR="00FC046A" w:rsidRPr="00753887" w:rsidRDefault="00FC046A">
      <w:pPr>
        <w:pStyle w:val="EndnoteText"/>
        <w:rPr>
          <w:rFonts w:ascii="Times New Roman" w:hAnsi="Times New Roman" w:cs="Times New Roman"/>
          <w:sz w:val="22"/>
          <w:szCs w:val="22"/>
        </w:rPr>
      </w:pPr>
    </w:p>
  </w:endnote>
  <w:endnote w:id="162">
    <w:p w14:paraId="65D496FD" w14:textId="321AF1B6" w:rsidR="00FC046A" w:rsidRPr="00753887" w:rsidRDefault="00FC046A" w:rsidP="00F33FD8">
      <w:pPr>
        <w:pStyle w:val="EndnoteText"/>
        <w:rPr>
          <w:rFonts w:ascii="Times New Roman" w:hAnsi="Times New Roman" w:cs="Times New Roman"/>
          <w:sz w:val="22"/>
          <w:szCs w:val="22"/>
        </w:rPr>
      </w:pPr>
      <w:r w:rsidRPr="00753887">
        <w:rPr>
          <w:rStyle w:val="EndnoteReference"/>
          <w:rFonts w:ascii="Times New Roman" w:hAnsi="Times New Roman" w:cs="Times New Roman"/>
          <w:sz w:val="22"/>
          <w:szCs w:val="22"/>
        </w:rPr>
        <w:endnoteRef/>
      </w:r>
      <w:r w:rsidRPr="00753887">
        <w:rPr>
          <w:rFonts w:ascii="Times New Roman" w:hAnsi="Times New Roman" w:cs="Times New Roman"/>
          <w:sz w:val="22"/>
          <w:szCs w:val="22"/>
        </w:rPr>
        <w:t xml:space="preserve"> </w:t>
      </w:r>
      <w:r>
        <w:rPr>
          <w:rFonts w:ascii="Times New Roman" w:hAnsi="Times New Roman" w:cs="Times New Roman"/>
          <w:sz w:val="22"/>
          <w:szCs w:val="22"/>
        </w:rPr>
        <w:t xml:space="preserve">See </w:t>
      </w:r>
      <w:r w:rsidRPr="005C1DEA">
        <w:rPr>
          <w:rFonts w:ascii="Times New Roman" w:hAnsi="Times New Roman" w:cs="Times New Roman"/>
          <w:sz w:val="22"/>
          <w:szCs w:val="22"/>
        </w:rPr>
        <w:t>Exhibit 104-P (Expert Report of Dr. Neil Doherty, March 27, 2017)</w:t>
      </w:r>
      <w:r>
        <w:rPr>
          <w:rFonts w:ascii="Times New Roman" w:hAnsi="Times New Roman" w:cs="Times New Roman"/>
          <w:sz w:val="22"/>
          <w:szCs w:val="22"/>
        </w:rPr>
        <w:t>.  Dr. Doherty opined at 5 that “</w:t>
      </w:r>
      <w:r w:rsidRPr="00F33FD8">
        <w:rPr>
          <w:rFonts w:ascii="Times New Roman" w:hAnsi="Times New Roman" w:cs="Times New Roman"/>
          <w:sz w:val="22"/>
          <w:szCs w:val="22"/>
        </w:rPr>
        <w:t>the policies of insurance purchased by</w:t>
      </w:r>
      <w:r>
        <w:rPr>
          <w:rFonts w:ascii="Times New Roman" w:hAnsi="Times New Roman" w:cs="Times New Roman"/>
          <w:sz w:val="22"/>
          <w:szCs w:val="22"/>
        </w:rPr>
        <w:t xml:space="preserve"> </w:t>
      </w:r>
      <w:r w:rsidRPr="00F33FD8">
        <w:rPr>
          <w:rFonts w:ascii="Times New Roman" w:hAnsi="Times New Roman" w:cs="Times New Roman"/>
          <w:sz w:val="22"/>
          <w:szCs w:val="22"/>
        </w:rPr>
        <w:t>Peak from Reserve and Pool Re, and the insurance arrangement involving Reserve, in 2008/9/10</w:t>
      </w:r>
      <w:r>
        <w:rPr>
          <w:rFonts w:ascii="Times New Roman" w:hAnsi="Times New Roman" w:cs="Times New Roman"/>
          <w:sz w:val="22"/>
          <w:szCs w:val="22"/>
        </w:rPr>
        <w:t xml:space="preserve"> </w:t>
      </w:r>
      <w:r w:rsidRPr="00F33FD8">
        <w:rPr>
          <w:rFonts w:ascii="Times New Roman" w:hAnsi="Times New Roman" w:cs="Times New Roman"/>
          <w:sz w:val="22"/>
          <w:szCs w:val="22"/>
        </w:rPr>
        <w:t xml:space="preserve">provide </w:t>
      </w:r>
      <w:r>
        <w:rPr>
          <w:rFonts w:ascii="Times New Roman" w:hAnsi="Times New Roman" w:cs="Times New Roman"/>
          <w:sz w:val="22"/>
          <w:szCs w:val="22"/>
        </w:rPr>
        <w:t>‘</w:t>
      </w:r>
      <w:r w:rsidRPr="00F33FD8">
        <w:rPr>
          <w:rFonts w:ascii="Times New Roman" w:hAnsi="Times New Roman" w:cs="Times New Roman"/>
          <w:sz w:val="22"/>
          <w:szCs w:val="22"/>
        </w:rPr>
        <w:t>insurance</w:t>
      </w:r>
      <w:r>
        <w:rPr>
          <w:rFonts w:ascii="Times New Roman" w:hAnsi="Times New Roman" w:cs="Times New Roman"/>
          <w:sz w:val="22"/>
          <w:szCs w:val="22"/>
        </w:rPr>
        <w:t>’</w:t>
      </w:r>
      <w:r w:rsidRPr="00F33FD8">
        <w:rPr>
          <w:rFonts w:ascii="Times New Roman" w:hAnsi="Times New Roman" w:cs="Times New Roman"/>
          <w:sz w:val="22"/>
          <w:szCs w:val="22"/>
        </w:rPr>
        <w:t xml:space="preserve"> as that term is understood by economists and by risk management theorists</w:t>
      </w:r>
      <w:r>
        <w:rPr>
          <w:rFonts w:ascii="Times New Roman" w:hAnsi="Times New Roman" w:cs="Times New Roman"/>
          <w:sz w:val="22"/>
          <w:szCs w:val="22"/>
        </w:rPr>
        <w:t xml:space="preserve"> </w:t>
      </w:r>
      <w:r w:rsidRPr="00F33FD8">
        <w:rPr>
          <w:rFonts w:ascii="Times New Roman" w:hAnsi="Times New Roman" w:cs="Times New Roman"/>
          <w:sz w:val="22"/>
          <w:szCs w:val="22"/>
        </w:rPr>
        <w:t>and professionals</w:t>
      </w:r>
      <w:r>
        <w:rPr>
          <w:rFonts w:ascii="Times New Roman" w:hAnsi="Times New Roman" w:cs="Times New Roman"/>
          <w:sz w:val="22"/>
          <w:szCs w:val="22"/>
        </w:rPr>
        <w:t>.”  Dr. Doherty further opined at 18: “</w:t>
      </w:r>
      <w:r w:rsidRPr="00711BED">
        <w:rPr>
          <w:rFonts w:ascii="Times New Roman" w:hAnsi="Times New Roman" w:cs="Times New Roman"/>
          <w:sz w:val="22"/>
          <w:szCs w:val="22"/>
        </w:rPr>
        <w:t>With respect to the types of coverages, insurance typically covers loss to the policyholder from</w:t>
      </w:r>
      <w:r>
        <w:rPr>
          <w:rFonts w:ascii="Times New Roman" w:hAnsi="Times New Roman" w:cs="Times New Roman"/>
          <w:sz w:val="22"/>
          <w:szCs w:val="22"/>
        </w:rPr>
        <w:t xml:space="preserve"> </w:t>
      </w:r>
      <w:r w:rsidRPr="00711BED">
        <w:rPr>
          <w:rFonts w:ascii="Times New Roman" w:hAnsi="Times New Roman" w:cs="Times New Roman"/>
          <w:sz w:val="22"/>
          <w:szCs w:val="22"/>
        </w:rPr>
        <w:t>fortuitous events. These include common perils such as weather and fire damage, liability claims,</w:t>
      </w:r>
      <w:r>
        <w:rPr>
          <w:rFonts w:ascii="Times New Roman" w:hAnsi="Times New Roman" w:cs="Times New Roman"/>
          <w:sz w:val="22"/>
          <w:szCs w:val="22"/>
        </w:rPr>
        <w:t xml:space="preserve"> </w:t>
      </w:r>
      <w:r w:rsidRPr="00711BED">
        <w:rPr>
          <w:rFonts w:ascii="Times New Roman" w:hAnsi="Times New Roman" w:cs="Times New Roman"/>
          <w:sz w:val="22"/>
          <w:szCs w:val="22"/>
        </w:rPr>
        <w:t>and</w:t>
      </w:r>
      <w:r>
        <w:rPr>
          <w:rFonts w:ascii="Times New Roman" w:hAnsi="Times New Roman" w:cs="Times New Roman"/>
          <w:sz w:val="22"/>
          <w:szCs w:val="22"/>
        </w:rPr>
        <w:t xml:space="preserve"> </w:t>
      </w:r>
      <w:r w:rsidRPr="00711BED">
        <w:rPr>
          <w:rFonts w:ascii="Times New Roman" w:hAnsi="Times New Roman" w:cs="Times New Roman"/>
          <w:sz w:val="22"/>
          <w:szCs w:val="22"/>
        </w:rPr>
        <w:t xml:space="preserve">more specialized risks such as loss of intellectual property, product recall and the like. </w:t>
      </w:r>
      <w:r w:rsidRPr="00AC63B7">
        <w:rPr>
          <w:rFonts w:ascii="Times New Roman" w:hAnsi="Times New Roman" w:cs="Times New Roman"/>
          <w:sz w:val="22"/>
          <w:szCs w:val="22"/>
          <w:u w:val="single"/>
        </w:rPr>
        <w:t>The policies in place for the various Capstone members include a mixture of typical and specialized risk exposures. Policies of these types are routinely offered by the insurance industry</w:t>
      </w:r>
      <w:r w:rsidRPr="00711BED">
        <w:rPr>
          <w:rFonts w:ascii="Times New Roman" w:hAnsi="Times New Roman" w:cs="Times New Roman"/>
          <w:sz w:val="22"/>
          <w:szCs w:val="22"/>
        </w:rPr>
        <w:t>.</w:t>
      </w:r>
      <w:r>
        <w:rPr>
          <w:rFonts w:ascii="Times New Roman" w:hAnsi="Times New Roman" w:cs="Times New Roman"/>
          <w:sz w:val="22"/>
          <w:szCs w:val="22"/>
        </w:rPr>
        <w:t>” (emphasis added)</w:t>
      </w:r>
    </w:p>
    <w:p w14:paraId="27B148FB" w14:textId="77777777" w:rsidR="00FC046A" w:rsidRPr="008F7C75" w:rsidRDefault="00FC046A">
      <w:pPr>
        <w:pStyle w:val="EndnoteText"/>
        <w:rPr>
          <w:rFonts w:ascii="Times New Roman" w:hAnsi="Times New Roman" w:cs="Times New Roman"/>
          <w:sz w:val="22"/>
          <w:szCs w:val="22"/>
        </w:rPr>
      </w:pPr>
    </w:p>
  </w:endnote>
  <w:endnote w:id="163">
    <w:p w14:paraId="40AEB689" w14:textId="191E85FB" w:rsidR="00FC046A" w:rsidRPr="008F7C75" w:rsidRDefault="00FC046A" w:rsidP="009F61F1">
      <w:pPr>
        <w:pStyle w:val="EndnoteText"/>
        <w:rPr>
          <w:rFonts w:ascii="Times New Roman" w:hAnsi="Times New Roman" w:cs="Times New Roman"/>
          <w:sz w:val="22"/>
          <w:szCs w:val="22"/>
        </w:rPr>
      </w:pPr>
      <w:r w:rsidRPr="008F7C75">
        <w:rPr>
          <w:rStyle w:val="EndnoteReference"/>
          <w:rFonts w:ascii="Times New Roman" w:hAnsi="Times New Roman" w:cs="Times New Roman"/>
          <w:sz w:val="22"/>
          <w:szCs w:val="22"/>
        </w:rPr>
        <w:endnoteRef/>
      </w:r>
      <w:r w:rsidRPr="008F7C75">
        <w:rPr>
          <w:rFonts w:ascii="Times New Roman" w:hAnsi="Times New Roman" w:cs="Times New Roman"/>
          <w:sz w:val="22"/>
          <w:szCs w:val="22"/>
        </w:rPr>
        <w:t xml:space="preserve"> </w:t>
      </w:r>
      <w:r>
        <w:rPr>
          <w:rFonts w:ascii="Times New Roman" w:hAnsi="Times New Roman" w:cs="Times New Roman"/>
          <w:sz w:val="22"/>
          <w:szCs w:val="22"/>
        </w:rPr>
        <w:t>See Opinion at 47: “</w:t>
      </w:r>
      <w:r w:rsidRPr="009F61F1">
        <w:rPr>
          <w:rFonts w:ascii="Times New Roman" w:hAnsi="Times New Roman" w:cs="Times New Roman"/>
          <w:sz w:val="22"/>
          <w:szCs w:val="22"/>
        </w:rPr>
        <w:t>On the basis of the relevant facts and circumstances we conclude that the</w:t>
      </w:r>
      <w:r>
        <w:rPr>
          <w:rFonts w:ascii="Times New Roman" w:hAnsi="Times New Roman" w:cs="Times New Roman"/>
          <w:sz w:val="22"/>
          <w:szCs w:val="22"/>
        </w:rPr>
        <w:t xml:space="preserve"> </w:t>
      </w:r>
      <w:r w:rsidRPr="009F61F1">
        <w:rPr>
          <w:rFonts w:ascii="Times New Roman" w:hAnsi="Times New Roman" w:cs="Times New Roman"/>
          <w:sz w:val="22"/>
          <w:szCs w:val="22"/>
        </w:rPr>
        <w:t>coinsurance contracts were not bona fide reinsurance agreements. Reserve has not</w:t>
      </w:r>
      <w:r>
        <w:rPr>
          <w:rFonts w:ascii="Times New Roman" w:hAnsi="Times New Roman" w:cs="Times New Roman"/>
          <w:sz w:val="22"/>
          <w:szCs w:val="22"/>
        </w:rPr>
        <w:t xml:space="preserve"> </w:t>
      </w:r>
      <w:r w:rsidRPr="009F61F1">
        <w:rPr>
          <w:rFonts w:ascii="Times New Roman" w:hAnsi="Times New Roman" w:cs="Times New Roman"/>
          <w:sz w:val="22"/>
          <w:szCs w:val="22"/>
        </w:rPr>
        <w:t>established that the contracts underlying the purported reinsurance transactions</w:t>
      </w:r>
      <w:r>
        <w:rPr>
          <w:rFonts w:ascii="Times New Roman" w:hAnsi="Times New Roman" w:cs="Times New Roman"/>
          <w:sz w:val="22"/>
          <w:szCs w:val="22"/>
        </w:rPr>
        <w:t xml:space="preserve"> </w:t>
      </w:r>
      <w:r w:rsidRPr="009F61F1">
        <w:rPr>
          <w:rFonts w:ascii="Times New Roman" w:hAnsi="Times New Roman" w:cs="Times New Roman"/>
          <w:sz w:val="22"/>
          <w:szCs w:val="22"/>
        </w:rPr>
        <w:t>existed or that the transactions involved actual risk</w:t>
      </w:r>
      <w:r>
        <w:rPr>
          <w:rFonts w:ascii="Times New Roman" w:hAnsi="Times New Roman" w:cs="Times New Roman"/>
          <w:sz w:val="22"/>
          <w:szCs w:val="22"/>
        </w:rPr>
        <w:t>.”</w:t>
      </w:r>
    </w:p>
    <w:p w14:paraId="237BB39B" w14:textId="77777777" w:rsidR="00FC046A" w:rsidRPr="003B138C" w:rsidRDefault="00FC046A">
      <w:pPr>
        <w:pStyle w:val="EndnoteText"/>
        <w:rPr>
          <w:rFonts w:ascii="Times New Roman" w:hAnsi="Times New Roman" w:cs="Times New Roman"/>
          <w:sz w:val="22"/>
          <w:szCs w:val="22"/>
        </w:rPr>
      </w:pPr>
    </w:p>
  </w:endnote>
  <w:endnote w:id="164">
    <w:p w14:paraId="7F883E04" w14:textId="67EA21D7" w:rsidR="00FC046A" w:rsidRPr="002C0070" w:rsidRDefault="00FC046A">
      <w:pPr>
        <w:pStyle w:val="EndnoteText"/>
        <w:rPr>
          <w:rFonts w:ascii="Times New Roman" w:hAnsi="Times New Roman" w:cs="Times New Roman"/>
          <w:sz w:val="22"/>
          <w:szCs w:val="22"/>
        </w:rPr>
      </w:pPr>
      <w:r w:rsidRPr="002C0070">
        <w:rPr>
          <w:rStyle w:val="EndnoteReference"/>
          <w:rFonts w:ascii="Times New Roman" w:hAnsi="Times New Roman" w:cs="Times New Roman"/>
          <w:sz w:val="22"/>
          <w:szCs w:val="22"/>
        </w:rPr>
        <w:endnoteRef/>
      </w:r>
      <w:r w:rsidRPr="002C0070">
        <w:rPr>
          <w:rFonts w:ascii="Times New Roman" w:hAnsi="Times New Roman" w:cs="Times New Roman"/>
          <w:sz w:val="22"/>
          <w:szCs w:val="22"/>
        </w:rPr>
        <w:t xml:space="preserve"> See testimony of </w:t>
      </w:r>
      <w:r>
        <w:rPr>
          <w:rFonts w:ascii="Times New Roman" w:hAnsi="Times New Roman" w:cs="Times New Roman"/>
          <w:sz w:val="22"/>
          <w:szCs w:val="22"/>
        </w:rPr>
        <w:t xml:space="preserve">actuary </w:t>
      </w:r>
      <w:r w:rsidRPr="002C0070">
        <w:rPr>
          <w:rFonts w:ascii="Times New Roman" w:hAnsi="Times New Roman" w:cs="Times New Roman"/>
          <w:sz w:val="22"/>
          <w:szCs w:val="22"/>
        </w:rPr>
        <w:t xml:space="preserve">Gary Fagg, </w:t>
      </w:r>
      <w:r>
        <w:rPr>
          <w:rFonts w:ascii="Times New Roman" w:hAnsi="Times New Roman" w:cs="Times New Roman"/>
          <w:sz w:val="22"/>
          <w:szCs w:val="22"/>
        </w:rPr>
        <w:t>Tr.</w:t>
      </w:r>
      <w:r w:rsidRPr="002C0070">
        <w:rPr>
          <w:rFonts w:ascii="Times New Roman" w:hAnsi="Times New Roman" w:cs="Times New Roman"/>
          <w:sz w:val="22"/>
          <w:szCs w:val="22"/>
        </w:rPr>
        <w:t xml:space="preserve"> at 437-447 and Exhibit 114-P (Expert Report of Gary Fagg</w:t>
      </w:r>
      <w:r>
        <w:rPr>
          <w:rFonts w:ascii="Times New Roman" w:hAnsi="Times New Roman" w:cs="Times New Roman"/>
          <w:sz w:val="22"/>
          <w:szCs w:val="22"/>
        </w:rPr>
        <w:t xml:space="preserve">, March </w:t>
      </w:r>
      <w:r w:rsidRPr="002C0070">
        <w:rPr>
          <w:rFonts w:ascii="Times New Roman" w:hAnsi="Times New Roman" w:cs="Times New Roman"/>
          <w:sz w:val="22"/>
          <w:szCs w:val="22"/>
        </w:rPr>
        <w:t>27, 2017).  See also Exhibit 52-J (Credit Insurance Coinsurance Contract Issued to PoolRe by Reserve</w:t>
      </w:r>
      <w:r>
        <w:rPr>
          <w:rFonts w:ascii="Times New Roman" w:hAnsi="Times New Roman" w:cs="Times New Roman"/>
          <w:sz w:val="22"/>
          <w:szCs w:val="22"/>
        </w:rPr>
        <w:t xml:space="preserve">, </w:t>
      </w:r>
      <w:r w:rsidRPr="002C0070">
        <w:rPr>
          <w:rFonts w:ascii="Times New Roman" w:hAnsi="Times New Roman" w:cs="Times New Roman"/>
          <w:sz w:val="22"/>
          <w:szCs w:val="22"/>
        </w:rPr>
        <w:t>2008 policy), Exhibit 72-J (Credit Insurance Coinsurance Contract Issued to PoolRe by Reserve</w:t>
      </w:r>
      <w:r>
        <w:rPr>
          <w:rFonts w:ascii="Times New Roman" w:hAnsi="Times New Roman" w:cs="Times New Roman"/>
          <w:sz w:val="22"/>
          <w:szCs w:val="22"/>
        </w:rPr>
        <w:t xml:space="preserve">, </w:t>
      </w:r>
      <w:r w:rsidRPr="002C0070">
        <w:rPr>
          <w:rFonts w:ascii="Times New Roman" w:hAnsi="Times New Roman" w:cs="Times New Roman"/>
          <w:sz w:val="22"/>
          <w:szCs w:val="22"/>
        </w:rPr>
        <w:t>2009 policy), and Exhibit 52-J (Credit Insurance Coinsurance Contract Issued to PoolRe by Reserve</w:t>
      </w:r>
      <w:r>
        <w:rPr>
          <w:rFonts w:ascii="Times New Roman" w:hAnsi="Times New Roman" w:cs="Times New Roman"/>
          <w:sz w:val="22"/>
          <w:szCs w:val="22"/>
        </w:rPr>
        <w:t xml:space="preserve">, </w:t>
      </w:r>
      <w:r w:rsidRPr="002C0070">
        <w:rPr>
          <w:rFonts w:ascii="Times New Roman" w:hAnsi="Times New Roman" w:cs="Times New Roman"/>
          <w:sz w:val="22"/>
          <w:szCs w:val="22"/>
        </w:rPr>
        <w:t>2010 policy)</w:t>
      </w:r>
      <w:r>
        <w:rPr>
          <w:rFonts w:ascii="Times New Roman" w:hAnsi="Times New Roman" w:cs="Times New Roman"/>
          <w:sz w:val="22"/>
          <w:szCs w:val="22"/>
        </w:rPr>
        <w:t>.</w:t>
      </w:r>
    </w:p>
    <w:p w14:paraId="08817737" w14:textId="77777777" w:rsidR="00FC046A" w:rsidRPr="003B138C" w:rsidRDefault="00FC046A">
      <w:pPr>
        <w:pStyle w:val="EndnoteText"/>
        <w:rPr>
          <w:rFonts w:ascii="Times New Roman" w:hAnsi="Times New Roman" w:cs="Times New Roman"/>
          <w:sz w:val="22"/>
          <w:szCs w:val="22"/>
        </w:rPr>
      </w:pPr>
    </w:p>
  </w:endnote>
  <w:endnote w:id="165">
    <w:p w14:paraId="7BE371F0" w14:textId="47446E8B" w:rsidR="00FC046A" w:rsidRPr="0007090E" w:rsidRDefault="00FC046A" w:rsidP="0097552F">
      <w:pPr>
        <w:pStyle w:val="EndnoteText"/>
        <w:rPr>
          <w:rFonts w:ascii="Times New Roman" w:hAnsi="Times New Roman" w:cs="Times New Roman"/>
          <w:sz w:val="22"/>
          <w:szCs w:val="22"/>
        </w:rPr>
      </w:pPr>
      <w:r w:rsidRPr="0007090E">
        <w:rPr>
          <w:rStyle w:val="EndnoteReference"/>
          <w:rFonts w:ascii="Times New Roman" w:hAnsi="Times New Roman" w:cs="Times New Roman"/>
          <w:sz w:val="22"/>
          <w:szCs w:val="22"/>
        </w:rPr>
        <w:endnoteRef/>
      </w:r>
      <w:r w:rsidRPr="0007090E">
        <w:rPr>
          <w:rFonts w:ascii="Times New Roman" w:hAnsi="Times New Roman" w:cs="Times New Roman"/>
          <w:sz w:val="22"/>
          <w:szCs w:val="22"/>
        </w:rPr>
        <w:t xml:space="preserve"> See </w:t>
      </w:r>
      <w:r>
        <w:rPr>
          <w:rFonts w:ascii="Times New Roman" w:hAnsi="Times New Roman" w:cs="Times New Roman"/>
          <w:sz w:val="22"/>
          <w:szCs w:val="22"/>
        </w:rPr>
        <w:t xml:space="preserve">Opinion at </w:t>
      </w:r>
      <w:r w:rsidRPr="0007090E">
        <w:rPr>
          <w:rFonts w:ascii="Times New Roman" w:hAnsi="Times New Roman" w:cs="Times New Roman"/>
          <w:sz w:val="22"/>
          <w:szCs w:val="22"/>
        </w:rPr>
        <w:t>47</w:t>
      </w:r>
      <w:r>
        <w:rPr>
          <w:rFonts w:ascii="Times New Roman" w:hAnsi="Times New Roman" w:cs="Times New Roman"/>
          <w:sz w:val="22"/>
          <w:szCs w:val="22"/>
        </w:rPr>
        <w:t xml:space="preserve">, </w:t>
      </w:r>
      <w:r w:rsidRPr="0007090E">
        <w:rPr>
          <w:rFonts w:ascii="Times New Roman" w:hAnsi="Times New Roman" w:cs="Times New Roman"/>
          <w:sz w:val="22"/>
          <w:szCs w:val="22"/>
        </w:rPr>
        <w:t>where the Court concluded that the coinsurance contracts that Reserve executed with PoolRe were not bona fide reinsurance agreements</w:t>
      </w:r>
      <w:r>
        <w:rPr>
          <w:rFonts w:ascii="Times New Roman" w:hAnsi="Times New Roman" w:cs="Times New Roman"/>
          <w:sz w:val="22"/>
          <w:szCs w:val="22"/>
        </w:rPr>
        <w:t xml:space="preserve">.  See </w:t>
      </w:r>
      <w:r w:rsidRPr="00E83C70">
        <w:rPr>
          <w:rFonts w:ascii="Times New Roman" w:hAnsi="Times New Roman" w:cs="Times New Roman"/>
          <w:sz w:val="22"/>
          <w:szCs w:val="22"/>
        </w:rPr>
        <w:t>also note 47, supra</w:t>
      </w:r>
      <w:r>
        <w:rPr>
          <w:rFonts w:ascii="Times New Roman" w:hAnsi="Times New Roman" w:cs="Times New Roman"/>
          <w:sz w:val="22"/>
          <w:szCs w:val="22"/>
        </w:rPr>
        <w:t>, which explains that t</w:t>
      </w:r>
      <w:r w:rsidRPr="00C53FC1">
        <w:rPr>
          <w:rFonts w:ascii="Times New Roman" w:hAnsi="Times New Roman" w:cs="Times New Roman"/>
          <w:sz w:val="22"/>
          <w:szCs w:val="22"/>
        </w:rPr>
        <w:t>he existence of the coinsurance contracts and terms of the reinsurance arrangement were established by uncontroverted expert witness testimony and documentary evidence</w:t>
      </w:r>
      <w:r>
        <w:rPr>
          <w:rFonts w:ascii="Times New Roman" w:hAnsi="Times New Roman" w:cs="Times New Roman"/>
          <w:sz w:val="22"/>
          <w:szCs w:val="22"/>
        </w:rPr>
        <w:t xml:space="preserve"> (providing citations to such evidence).</w:t>
      </w:r>
    </w:p>
    <w:p w14:paraId="5F96EBF6" w14:textId="77777777" w:rsidR="00FC046A" w:rsidRPr="0007090E" w:rsidRDefault="00FC046A" w:rsidP="0097552F">
      <w:pPr>
        <w:pStyle w:val="EndnoteText"/>
        <w:rPr>
          <w:rFonts w:ascii="Times New Roman" w:hAnsi="Times New Roman" w:cs="Times New Roman"/>
          <w:sz w:val="22"/>
          <w:szCs w:val="22"/>
        </w:rPr>
      </w:pPr>
    </w:p>
  </w:endnote>
  <w:endnote w:id="166">
    <w:p w14:paraId="574997E7" w14:textId="34C87028" w:rsidR="00FC046A" w:rsidRDefault="00FC046A">
      <w:pPr>
        <w:pStyle w:val="EndnoteText"/>
        <w:rPr>
          <w:rFonts w:ascii="Times New Roman" w:hAnsi="Times New Roman" w:cs="Times New Roman"/>
          <w:sz w:val="22"/>
          <w:szCs w:val="22"/>
        </w:rPr>
      </w:pPr>
      <w:r w:rsidRPr="002059EE">
        <w:rPr>
          <w:rStyle w:val="EndnoteReference"/>
          <w:rFonts w:ascii="Times New Roman" w:hAnsi="Times New Roman" w:cs="Times New Roman"/>
          <w:sz w:val="22"/>
          <w:szCs w:val="22"/>
        </w:rPr>
        <w:endnoteRef/>
      </w:r>
      <w:r w:rsidRPr="002059EE">
        <w:rPr>
          <w:rFonts w:ascii="Times New Roman" w:hAnsi="Times New Roman" w:cs="Times New Roman"/>
          <w:sz w:val="22"/>
          <w:szCs w:val="22"/>
        </w:rPr>
        <w:t xml:space="preserve"> </w:t>
      </w:r>
      <w:r>
        <w:rPr>
          <w:rFonts w:ascii="Times New Roman" w:hAnsi="Times New Roman" w:cs="Times New Roman"/>
          <w:sz w:val="22"/>
          <w:szCs w:val="22"/>
        </w:rPr>
        <w:t xml:space="preserve">See Opinion at 60: </w:t>
      </w:r>
      <w:r w:rsidRPr="002059EE">
        <w:rPr>
          <w:rFonts w:ascii="Times New Roman" w:hAnsi="Times New Roman" w:cs="Times New Roman"/>
          <w:sz w:val="22"/>
          <w:szCs w:val="22"/>
        </w:rPr>
        <w:t>“</w:t>
      </w:r>
      <w:r w:rsidRPr="00BF2C47">
        <w:rPr>
          <w:rFonts w:ascii="Times New Roman" w:hAnsi="Times New Roman" w:cs="Times New Roman"/>
          <w:sz w:val="22"/>
          <w:szCs w:val="22"/>
        </w:rPr>
        <w:t>The facts do not reflect that Peak had a genuine need for acquiring</w:t>
      </w:r>
      <w:r>
        <w:rPr>
          <w:rFonts w:ascii="Times New Roman" w:hAnsi="Times New Roman" w:cs="Times New Roman"/>
          <w:sz w:val="22"/>
          <w:szCs w:val="22"/>
        </w:rPr>
        <w:t xml:space="preserve"> </w:t>
      </w:r>
      <w:r w:rsidRPr="00BF2C47">
        <w:rPr>
          <w:rFonts w:ascii="Times New Roman" w:hAnsi="Times New Roman" w:cs="Times New Roman"/>
          <w:sz w:val="22"/>
          <w:szCs w:val="22"/>
        </w:rPr>
        <w:t xml:space="preserve">additional insurance during the tax years in issue. </w:t>
      </w:r>
      <w:r w:rsidRPr="00BF2C47">
        <w:rPr>
          <w:rFonts w:ascii="Times New Roman" w:hAnsi="Times New Roman" w:cs="Times New Roman"/>
          <w:b/>
          <w:sz w:val="22"/>
          <w:szCs w:val="22"/>
        </w:rPr>
        <w:t>There was no significant history of losses that would justify such a drastic increase</w:t>
      </w:r>
      <w:r w:rsidRPr="00BF2C47">
        <w:rPr>
          <w:rFonts w:ascii="Times New Roman" w:hAnsi="Times New Roman" w:cs="Times New Roman"/>
          <w:sz w:val="22"/>
          <w:szCs w:val="22"/>
        </w:rPr>
        <w:t>, and Zumbaum</w:t>
      </w:r>
      <w:r>
        <w:rPr>
          <w:rFonts w:ascii="Times New Roman" w:hAnsi="Times New Roman" w:cs="Times New Roman"/>
          <w:sz w:val="22"/>
          <w:szCs w:val="22"/>
        </w:rPr>
        <w:t>’</w:t>
      </w:r>
      <w:r w:rsidRPr="00BF2C47">
        <w:rPr>
          <w:rFonts w:ascii="Times New Roman" w:hAnsi="Times New Roman" w:cs="Times New Roman"/>
          <w:sz w:val="22"/>
          <w:szCs w:val="22"/>
        </w:rPr>
        <w:t>s testimony that</w:t>
      </w:r>
      <w:r>
        <w:rPr>
          <w:rFonts w:ascii="Times New Roman" w:hAnsi="Times New Roman" w:cs="Times New Roman"/>
          <w:sz w:val="22"/>
          <w:szCs w:val="22"/>
        </w:rPr>
        <w:t xml:space="preserve"> </w:t>
      </w:r>
      <w:r w:rsidRPr="00BF2C47">
        <w:rPr>
          <w:rFonts w:ascii="Times New Roman" w:hAnsi="Times New Roman" w:cs="Times New Roman"/>
          <w:sz w:val="22"/>
          <w:szCs w:val="22"/>
        </w:rPr>
        <w:t>he was concerned about increased</w:t>
      </w:r>
      <w:r>
        <w:rPr>
          <w:rFonts w:ascii="Times New Roman" w:hAnsi="Times New Roman" w:cs="Times New Roman"/>
          <w:sz w:val="22"/>
          <w:szCs w:val="22"/>
        </w:rPr>
        <w:t xml:space="preserve"> </w:t>
      </w:r>
      <w:r w:rsidRPr="00BF2C47">
        <w:rPr>
          <w:rFonts w:ascii="Times New Roman" w:hAnsi="Times New Roman" w:cs="Times New Roman"/>
          <w:sz w:val="22"/>
          <w:szCs w:val="22"/>
        </w:rPr>
        <w:t>risks beginning in 2008 did not support a</w:t>
      </w:r>
      <w:r>
        <w:rPr>
          <w:rFonts w:ascii="Times New Roman" w:hAnsi="Times New Roman" w:cs="Times New Roman"/>
          <w:sz w:val="22"/>
          <w:szCs w:val="22"/>
        </w:rPr>
        <w:t xml:space="preserve"> </w:t>
      </w:r>
      <w:r w:rsidRPr="00BF2C47">
        <w:rPr>
          <w:rFonts w:ascii="Times New Roman" w:hAnsi="Times New Roman" w:cs="Times New Roman"/>
          <w:sz w:val="22"/>
          <w:szCs w:val="22"/>
        </w:rPr>
        <w:t>significant increase in insurance coverage.</w:t>
      </w:r>
      <w:r>
        <w:rPr>
          <w:rFonts w:ascii="Times New Roman" w:hAnsi="Times New Roman" w:cs="Times New Roman"/>
          <w:sz w:val="22"/>
          <w:szCs w:val="22"/>
        </w:rPr>
        <w:t xml:space="preserve">” (Emphasis added).  Mr. Zumbaum’s testimony at trial, which focused on his concerns about Peak’s inability to obtain pollution coverage from a commercial insurer (due to Peak’s facilities being in a Superfund Site) clearly showed that his concerns about increased risks were justified. </w:t>
      </w:r>
      <w:r w:rsidRPr="007008B1">
        <w:rPr>
          <w:rFonts w:ascii="Times New Roman" w:hAnsi="Times New Roman" w:cs="Times New Roman"/>
          <w:sz w:val="22"/>
          <w:szCs w:val="22"/>
        </w:rPr>
        <w:t>The Court chose not to address how there were losses (e.g., the $339,820 in covered losses under a Reserve issued policy) paid, that this still didn’t satisfy the Court’s elevated standard.</w:t>
      </w:r>
    </w:p>
    <w:p w14:paraId="3D556723" w14:textId="77777777" w:rsidR="00FC046A" w:rsidRDefault="00FC046A">
      <w:pPr>
        <w:pStyle w:val="EndnoteText"/>
        <w:rPr>
          <w:rFonts w:ascii="Times New Roman" w:hAnsi="Times New Roman" w:cs="Times New Roman"/>
          <w:sz w:val="22"/>
          <w:szCs w:val="22"/>
        </w:rPr>
      </w:pPr>
    </w:p>
    <w:p w14:paraId="10628AFA" w14:textId="1724E1D7" w:rsidR="00FC046A" w:rsidRDefault="00FC046A">
      <w:pPr>
        <w:pStyle w:val="EndnoteText"/>
        <w:rPr>
          <w:rFonts w:ascii="Times New Roman" w:hAnsi="Times New Roman" w:cs="Times New Roman"/>
          <w:sz w:val="22"/>
          <w:szCs w:val="22"/>
        </w:rPr>
      </w:pPr>
      <w:r>
        <w:rPr>
          <w:rFonts w:ascii="Times New Roman" w:hAnsi="Times New Roman" w:cs="Times New Roman"/>
          <w:sz w:val="22"/>
          <w:szCs w:val="22"/>
        </w:rPr>
        <w:t xml:space="preserve">The fact is that Peak’s insurance expense increased because the comprehensiveness of its insurance coverages increased significantly, just as a business’ gasoline expenses might increase if it bought a larger truck.  The Court already reluctantly acknowledged the reasonable pricing of the policies which were supported by four independent actuaries.  This is uncontested.  The Court conducted no analysis – which it could not – as to whether the policies acquired by the insureds were anything other than directly crafted for the risks of the Peak insureds. </w:t>
      </w:r>
    </w:p>
    <w:p w14:paraId="2F7A4375" w14:textId="77777777" w:rsidR="00FC046A" w:rsidRPr="00BF2C47" w:rsidRDefault="00FC046A">
      <w:pPr>
        <w:pStyle w:val="EndnoteText"/>
        <w:rPr>
          <w:rFonts w:ascii="Times New Roman" w:hAnsi="Times New Roman" w:cs="Times New Roman"/>
          <w:sz w:val="22"/>
          <w:szCs w:val="22"/>
        </w:rPr>
      </w:pPr>
    </w:p>
  </w:endnote>
  <w:endnote w:id="167">
    <w:p w14:paraId="007AA08C" w14:textId="4A2C80DD" w:rsidR="00FC046A" w:rsidRPr="00FA0913" w:rsidRDefault="00FC046A">
      <w:pPr>
        <w:pStyle w:val="EndnoteText"/>
        <w:rPr>
          <w:rFonts w:ascii="Times New Roman" w:hAnsi="Times New Roman" w:cs="Times New Roman"/>
          <w:sz w:val="22"/>
          <w:szCs w:val="22"/>
        </w:rPr>
      </w:pPr>
      <w:r w:rsidRPr="00DD0AAF">
        <w:rPr>
          <w:rStyle w:val="EndnoteReference"/>
          <w:rFonts w:ascii="Times New Roman" w:hAnsi="Times New Roman" w:cs="Times New Roman"/>
          <w:sz w:val="22"/>
          <w:szCs w:val="22"/>
        </w:rPr>
        <w:endnoteRef/>
      </w:r>
      <w:r w:rsidRPr="00DD0AAF">
        <w:rPr>
          <w:rFonts w:ascii="Times New Roman" w:hAnsi="Times New Roman" w:cs="Times New Roman"/>
          <w:sz w:val="22"/>
          <w:szCs w:val="22"/>
        </w:rPr>
        <w:t xml:space="preserve"> </w:t>
      </w:r>
      <w:r w:rsidRPr="00790F14">
        <w:rPr>
          <w:rFonts w:ascii="Times New Roman" w:hAnsi="Times New Roman" w:cs="Times New Roman"/>
          <w:sz w:val="22"/>
          <w:szCs w:val="22"/>
        </w:rPr>
        <w:t xml:space="preserve">See </w:t>
      </w:r>
      <w:r w:rsidRPr="00790F14">
        <w:rPr>
          <w:rFonts w:ascii="Times New Roman" w:hAnsi="Times New Roman" w:cs="Times New Roman"/>
          <w:i/>
          <w:sz w:val="22"/>
          <w:szCs w:val="22"/>
        </w:rPr>
        <w:t>Commissioner of Internal Revenue v. Treganowan</w:t>
      </w:r>
      <w:r w:rsidRPr="00790F14">
        <w:rPr>
          <w:rFonts w:ascii="Times New Roman" w:hAnsi="Times New Roman" w:cs="Times New Roman"/>
          <w:sz w:val="22"/>
          <w:szCs w:val="22"/>
        </w:rPr>
        <w:t>, 183 F.2d 288, 290-291 (2d Cir. 1950)</w:t>
      </w:r>
      <w:r>
        <w:rPr>
          <w:rFonts w:ascii="Times New Roman" w:hAnsi="Times New Roman" w:cs="Times New Roman"/>
          <w:sz w:val="22"/>
          <w:szCs w:val="22"/>
        </w:rPr>
        <w:t xml:space="preserve">, where the court stated as follows: </w:t>
      </w:r>
      <w:r w:rsidRPr="00790F14">
        <w:rPr>
          <w:rFonts w:ascii="Times New Roman" w:hAnsi="Times New Roman" w:cs="Times New Roman"/>
          <w:sz w:val="22"/>
          <w:szCs w:val="22"/>
        </w:rPr>
        <w:t xml:space="preserve">“From an insurance standpoint there is no risk unless there is uncertainty or, to use a better term, fortuitousness. It may be uncertain whether the risk will materialize in any particular </w:t>
      </w:r>
      <w:r w:rsidRPr="00FA0913">
        <w:rPr>
          <w:rFonts w:ascii="Times New Roman" w:hAnsi="Times New Roman" w:cs="Times New Roman"/>
          <w:sz w:val="22"/>
          <w:szCs w:val="22"/>
        </w:rPr>
        <w:t xml:space="preserve">case. Even death may be considered fortuitous, because the time of its occurrence is beyond control.”  See also </w:t>
      </w:r>
      <w:r w:rsidRPr="00B84C6B">
        <w:rPr>
          <w:rFonts w:ascii="Times New Roman" w:hAnsi="Times New Roman" w:cs="Times New Roman"/>
          <w:i/>
          <w:sz w:val="22"/>
          <w:szCs w:val="22"/>
        </w:rPr>
        <w:t>R.V.I. Guaranty Co.</w:t>
      </w:r>
      <w:r w:rsidRPr="00B84C6B">
        <w:rPr>
          <w:rFonts w:ascii="Times New Roman" w:hAnsi="Times New Roman" w:cs="Times New Roman"/>
          <w:sz w:val="22"/>
          <w:szCs w:val="22"/>
        </w:rPr>
        <w:t>, 145 TC No. 9,</w:t>
      </w:r>
      <w:r>
        <w:rPr>
          <w:rFonts w:ascii="Times New Roman" w:hAnsi="Times New Roman" w:cs="Times New Roman"/>
          <w:sz w:val="22"/>
          <w:szCs w:val="22"/>
        </w:rPr>
        <w:t xml:space="preserve"> </w:t>
      </w:r>
      <w:r w:rsidRPr="00B84C6B">
        <w:rPr>
          <w:rFonts w:ascii="Times New Roman" w:hAnsi="Times New Roman" w:cs="Times New Roman"/>
          <w:sz w:val="22"/>
          <w:szCs w:val="22"/>
        </w:rPr>
        <w:t>(Sept. 21, 2015),</w:t>
      </w:r>
      <w:r>
        <w:rPr>
          <w:rFonts w:ascii="Times New Roman" w:hAnsi="Times New Roman" w:cs="Times New Roman"/>
          <w:sz w:val="22"/>
          <w:szCs w:val="22"/>
        </w:rPr>
        <w:t xml:space="preserve"> which the Court failed to distinguish and where the Court in </w:t>
      </w:r>
      <w:r w:rsidRPr="00243A79">
        <w:rPr>
          <w:rFonts w:ascii="Times New Roman" w:hAnsi="Times New Roman" w:cs="Times New Roman"/>
          <w:i/>
          <w:sz w:val="22"/>
          <w:szCs w:val="22"/>
        </w:rPr>
        <w:t>Reserve</w:t>
      </w:r>
      <w:r>
        <w:rPr>
          <w:rFonts w:ascii="Times New Roman" w:hAnsi="Times New Roman" w:cs="Times New Roman"/>
          <w:sz w:val="22"/>
          <w:szCs w:val="22"/>
        </w:rPr>
        <w:t xml:space="preserve"> also appears to have overruled its own decision.  In </w:t>
      </w:r>
      <w:r w:rsidRPr="00795523">
        <w:rPr>
          <w:rFonts w:ascii="Times New Roman" w:hAnsi="Times New Roman" w:cs="Times New Roman"/>
          <w:i/>
          <w:sz w:val="22"/>
          <w:szCs w:val="22"/>
        </w:rPr>
        <w:t>RVI</w:t>
      </w:r>
      <w:r>
        <w:rPr>
          <w:rFonts w:ascii="Times New Roman" w:hAnsi="Times New Roman" w:cs="Times New Roman"/>
          <w:i/>
          <w:sz w:val="22"/>
          <w:szCs w:val="22"/>
        </w:rPr>
        <w:t xml:space="preserve"> Guaranty</w:t>
      </w:r>
      <w:r>
        <w:rPr>
          <w:rFonts w:ascii="Times New Roman" w:hAnsi="Times New Roman" w:cs="Times New Roman"/>
          <w:sz w:val="22"/>
          <w:szCs w:val="22"/>
        </w:rPr>
        <w:t xml:space="preserve">, after </w:t>
      </w:r>
      <w:r w:rsidRPr="002A3643">
        <w:rPr>
          <w:rFonts w:ascii="Times New Roman" w:hAnsi="Times New Roman" w:cs="Times New Roman"/>
          <w:sz w:val="22"/>
          <w:szCs w:val="22"/>
        </w:rPr>
        <w:t xml:space="preserve">citing </w:t>
      </w:r>
      <w:r>
        <w:rPr>
          <w:rFonts w:ascii="Times New Roman" w:hAnsi="Times New Roman" w:cs="Times New Roman"/>
          <w:sz w:val="22"/>
          <w:szCs w:val="22"/>
        </w:rPr>
        <w:t xml:space="preserve">to numerous </w:t>
      </w:r>
      <w:r w:rsidRPr="002A3643">
        <w:rPr>
          <w:rFonts w:ascii="Times New Roman" w:hAnsi="Times New Roman" w:cs="Times New Roman"/>
          <w:sz w:val="22"/>
          <w:szCs w:val="22"/>
        </w:rPr>
        <w:t>state</w:t>
      </w:r>
      <w:r>
        <w:rPr>
          <w:rFonts w:ascii="Times New Roman" w:hAnsi="Times New Roman" w:cs="Times New Roman"/>
          <w:sz w:val="22"/>
          <w:szCs w:val="22"/>
        </w:rPr>
        <w:t xml:space="preserve"> case </w:t>
      </w:r>
      <w:r w:rsidRPr="002A3643">
        <w:rPr>
          <w:rFonts w:ascii="Times New Roman" w:hAnsi="Times New Roman" w:cs="Times New Roman"/>
          <w:sz w:val="22"/>
          <w:szCs w:val="22"/>
        </w:rPr>
        <w:t xml:space="preserve">law </w:t>
      </w:r>
      <w:r>
        <w:rPr>
          <w:rFonts w:ascii="Times New Roman" w:hAnsi="Times New Roman" w:cs="Times New Roman"/>
          <w:sz w:val="22"/>
          <w:szCs w:val="22"/>
        </w:rPr>
        <w:t>authorities</w:t>
      </w:r>
      <w:r w:rsidRPr="002A3643">
        <w:rPr>
          <w:rFonts w:ascii="Times New Roman" w:hAnsi="Times New Roman" w:cs="Times New Roman"/>
          <w:sz w:val="22"/>
          <w:szCs w:val="22"/>
        </w:rPr>
        <w:t xml:space="preserve">, statutory financial statement rules and Congress’ </w:t>
      </w:r>
      <w:r>
        <w:rPr>
          <w:rFonts w:ascii="Times New Roman" w:hAnsi="Times New Roman" w:cs="Times New Roman"/>
          <w:sz w:val="22"/>
          <w:szCs w:val="22"/>
        </w:rPr>
        <w:t xml:space="preserve">intent to </w:t>
      </w:r>
      <w:r w:rsidRPr="002A3643">
        <w:rPr>
          <w:rFonts w:ascii="Times New Roman" w:hAnsi="Times New Roman" w:cs="Times New Roman"/>
          <w:sz w:val="22"/>
          <w:szCs w:val="22"/>
        </w:rPr>
        <w:t xml:space="preserve">grant authority to </w:t>
      </w:r>
      <w:r>
        <w:rPr>
          <w:rFonts w:ascii="Times New Roman" w:hAnsi="Times New Roman" w:cs="Times New Roman"/>
          <w:sz w:val="22"/>
          <w:szCs w:val="22"/>
        </w:rPr>
        <w:t>s</w:t>
      </w:r>
      <w:r w:rsidRPr="002A3643">
        <w:rPr>
          <w:rFonts w:ascii="Times New Roman" w:hAnsi="Times New Roman" w:cs="Times New Roman"/>
          <w:sz w:val="22"/>
          <w:szCs w:val="22"/>
        </w:rPr>
        <w:t xml:space="preserve">tates to regulate the business of insurance, </w:t>
      </w:r>
      <w:r>
        <w:rPr>
          <w:rFonts w:ascii="Times New Roman" w:hAnsi="Times New Roman" w:cs="Times New Roman"/>
          <w:sz w:val="22"/>
          <w:szCs w:val="22"/>
        </w:rPr>
        <w:t xml:space="preserve">the tax court </w:t>
      </w:r>
      <w:r w:rsidRPr="002A3643">
        <w:rPr>
          <w:rFonts w:ascii="Times New Roman" w:hAnsi="Times New Roman" w:cs="Times New Roman"/>
          <w:sz w:val="22"/>
          <w:szCs w:val="22"/>
        </w:rPr>
        <w:t>conclude</w:t>
      </w:r>
      <w:r>
        <w:rPr>
          <w:rFonts w:ascii="Times New Roman" w:hAnsi="Times New Roman" w:cs="Times New Roman"/>
          <w:sz w:val="22"/>
          <w:szCs w:val="22"/>
        </w:rPr>
        <w:t>d</w:t>
      </w:r>
      <w:r w:rsidRPr="002A3643">
        <w:rPr>
          <w:rFonts w:ascii="Times New Roman" w:hAnsi="Times New Roman" w:cs="Times New Roman"/>
          <w:sz w:val="22"/>
          <w:szCs w:val="22"/>
        </w:rPr>
        <w:t xml:space="preserve"> that </w:t>
      </w:r>
      <w:r w:rsidRPr="00F804EF">
        <w:rPr>
          <w:rFonts w:ascii="Times New Roman" w:hAnsi="Times New Roman" w:cs="Times New Roman"/>
          <w:sz w:val="22"/>
          <w:szCs w:val="22"/>
        </w:rPr>
        <w:t>contracts issued by</w:t>
      </w:r>
      <w:r>
        <w:rPr>
          <w:rFonts w:ascii="Times New Roman" w:hAnsi="Times New Roman" w:cs="Times New Roman"/>
          <w:sz w:val="22"/>
          <w:szCs w:val="22"/>
        </w:rPr>
        <w:t xml:space="preserve"> RVI Guaranty to </w:t>
      </w:r>
      <w:r w:rsidRPr="00F804EF">
        <w:rPr>
          <w:rFonts w:ascii="Times New Roman" w:hAnsi="Times New Roman" w:cs="Times New Roman"/>
          <w:sz w:val="22"/>
          <w:szCs w:val="22"/>
        </w:rPr>
        <w:t xml:space="preserve">insure against the risk that the actual value of an asset upon termination of a lease would be significantly lower than the </w:t>
      </w:r>
      <w:r>
        <w:rPr>
          <w:rFonts w:ascii="Times New Roman" w:hAnsi="Times New Roman" w:cs="Times New Roman"/>
          <w:sz w:val="22"/>
          <w:szCs w:val="22"/>
        </w:rPr>
        <w:t>“</w:t>
      </w:r>
      <w:r w:rsidRPr="00F804EF">
        <w:rPr>
          <w:rFonts w:ascii="Times New Roman" w:hAnsi="Times New Roman" w:cs="Times New Roman"/>
          <w:sz w:val="22"/>
          <w:szCs w:val="22"/>
        </w:rPr>
        <w:t>expected value</w:t>
      </w:r>
      <w:r>
        <w:rPr>
          <w:rFonts w:ascii="Times New Roman" w:hAnsi="Times New Roman" w:cs="Times New Roman"/>
          <w:sz w:val="22"/>
          <w:szCs w:val="22"/>
        </w:rPr>
        <w:t>”</w:t>
      </w:r>
      <w:r w:rsidRPr="00F804EF">
        <w:rPr>
          <w:rFonts w:ascii="Times New Roman" w:hAnsi="Times New Roman" w:cs="Times New Roman"/>
          <w:sz w:val="22"/>
          <w:szCs w:val="22"/>
        </w:rPr>
        <w:t xml:space="preserve"> are contracts of “insurance” caused by fortuitous events outside of </w:t>
      </w:r>
      <w:r>
        <w:rPr>
          <w:rFonts w:ascii="Times New Roman" w:hAnsi="Times New Roman" w:cs="Times New Roman"/>
          <w:sz w:val="22"/>
          <w:szCs w:val="22"/>
        </w:rPr>
        <w:t>RVI’s</w:t>
      </w:r>
      <w:r w:rsidRPr="00F804EF">
        <w:rPr>
          <w:rFonts w:ascii="Times New Roman" w:hAnsi="Times New Roman" w:cs="Times New Roman"/>
          <w:sz w:val="22"/>
          <w:szCs w:val="22"/>
        </w:rPr>
        <w:t xml:space="preserve"> control</w:t>
      </w:r>
      <w:r>
        <w:rPr>
          <w:rFonts w:ascii="Times New Roman" w:hAnsi="Times New Roman" w:cs="Times New Roman"/>
          <w:sz w:val="22"/>
          <w:szCs w:val="22"/>
        </w:rPr>
        <w:t xml:space="preserve">.  In doing so, the tax court gave a </w:t>
      </w:r>
      <w:r w:rsidRPr="002A3643">
        <w:rPr>
          <w:rFonts w:ascii="Times New Roman" w:hAnsi="Times New Roman" w:cs="Times New Roman"/>
          <w:sz w:val="22"/>
          <w:szCs w:val="22"/>
        </w:rPr>
        <w:t xml:space="preserve">substantial amount </w:t>
      </w:r>
      <w:r>
        <w:rPr>
          <w:rFonts w:ascii="Times New Roman" w:hAnsi="Times New Roman" w:cs="Times New Roman"/>
          <w:sz w:val="22"/>
          <w:szCs w:val="22"/>
        </w:rPr>
        <w:t xml:space="preserve">of deference to the insurance domicile in governing RVI’s operations.  In </w:t>
      </w:r>
      <w:r w:rsidRPr="00E85911">
        <w:rPr>
          <w:rFonts w:ascii="Times New Roman" w:hAnsi="Times New Roman" w:cs="Times New Roman"/>
          <w:i/>
          <w:sz w:val="22"/>
          <w:szCs w:val="22"/>
        </w:rPr>
        <w:t>Reserve</w:t>
      </w:r>
      <w:r>
        <w:rPr>
          <w:rFonts w:ascii="Times New Roman" w:hAnsi="Times New Roman" w:cs="Times New Roman"/>
          <w:sz w:val="22"/>
          <w:szCs w:val="22"/>
        </w:rPr>
        <w:t xml:space="preserve">, multiple experts testified that each of Reserve’s policies covered insurable risks, and the government conceded that this was the case with respect to risks covered in at least 11 of the 14 policies.  The Court went beyond the record in </w:t>
      </w:r>
      <w:r w:rsidRPr="00FC4957">
        <w:rPr>
          <w:rFonts w:ascii="Times New Roman" w:hAnsi="Times New Roman" w:cs="Times New Roman"/>
          <w:i/>
          <w:sz w:val="22"/>
          <w:szCs w:val="22"/>
        </w:rPr>
        <w:t>Reserve</w:t>
      </w:r>
      <w:r>
        <w:rPr>
          <w:rFonts w:ascii="Times New Roman" w:hAnsi="Times New Roman" w:cs="Times New Roman"/>
          <w:sz w:val="22"/>
          <w:szCs w:val="22"/>
        </w:rPr>
        <w:t xml:space="preserve">, concluding that none of Reserve’s policies were insurance and did not address the </w:t>
      </w:r>
      <w:r w:rsidRPr="00894D60">
        <w:rPr>
          <w:rFonts w:ascii="Times New Roman" w:hAnsi="Times New Roman" w:cs="Times New Roman"/>
          <w:i/>
          <w:sz w:val="22"/>
          <w:szCs w:val="22"/>
        </w:rPr>
        <w:t>RVI Guaranty</w:t>
      </w:r>
      <w:r>
        <w:rPr>
          <w:rFonts w:ascii="Times New Roman" w:hAnsi="Times New Roman" w:cs="Times New Roman"/>
          <w:sz w:val="22"/>
          <w:szCs w:val="22"/>
        </w:rPr>
        <w:t xml:space="preserve"> case or the </w:t>
      </w:r>
      <w:r w:rsidRPr="00293F1B">
        <w:rPr>
          <w:rFonts w:ascii="Times New Roman" w:hAnsi="Times New Roman" w:cs="Times New Roman"/>
          <w:sz w:val="22"/>
          <w:szCs w:val="22"/>
        </w:rPr>
        <w:t xml:space="preserve">“fortuitous risk” of loss concept </w:t>
      </w:r>
      <w:r>
        <w:rPr>
          <w:rFonts w:ascii="Times New Roman" w:hAnsi="Times New Roman" w:cs="Times New Roman"/>
          <w:sz w:val="22"/>
          <w:szCs w:val="22"/>
        </w:rPr>
        <w:t>that had been the focus of courts for decades.</w:t>
      </w:r>
    </w:p>
    <w:p w14:paraId="7B6DC172" w14:textId="77777777" w:rsidR="00FC046A" w:rsidRPr="00FA0913" w:rsidRDefault="00FC046A">
      <w:pPr>
        <w:pStyle w:val="EndnoteText"/>
        <w:rPr>
          <w:rFonts w:ascii="Times New Roman" w:hAnsi="Times New Roman" w:cs="Times New Roman"/>
          <w:sz w:val="22"/>
          <w:szCs w:val="22"/>
        </w:rPr>
      </w:pPr>
    </w:p>
  </w:endnote>
  <w:endnote w:id="168">
    <w:p w14:paraId="3CA32129" w14:textId="00A8610E" w:rsidR="00FC046A" w:rsidRDefault="00FC046A" w:rsidP="00214CA7">
      <w:pPr>
        <w:pStyle w:val="EndnoteText"/>
        <w:rPr>
          <w:rFonts w:ascii="Times New Roman" w:hAnsi="Times New Roman" w:cs="Times New Roman"/>
          <w:sz w:val="22"/>
          <w:szCs w:val="22"/>
        </w:rPr>
      </w:pPr>
      <w:r w:rsidRPr="009D7D2E">
        <w:rPr>
          <w:rStyle w:val="EndnoteReference"/>
          <w:rFonts w:ascii="Times New Roman" w:hAnsi="Times New Roman" w:cs="Times New Roman"/>
          <w:sz w:val="22"/>
          <w:szCs w:val="22"/>
        </w:rPr>
        <w:endnoteRef/>
      </w:r>
      <w:r w:rsidRPr="009D7D2E">
        <w:rPr>
          <w:rFonts w:ascii="Times New Roman" w:hAnsi="Times New Roman" w:cs="Times New Roman"/>
          <w:sz w:val="22"/>
          <w:szCs w:val="22"/>
        </w:rPr>
        <w:t xml:space="preserve"> </w:t>
      </w:r>
      <w:r>
        <w:rPr>
          <w:rFonts w:ascii="Times New Roman" w:hAnsi="Times New Roman" w:cs="Times New Roman"/>
          <w:sz w:val="22"/>
          <w:szCs w:val="22"/>
        </w:rPr>
        <w:t xml:space="preserve">See also </w:t>
      </w:r>
      <w:r w:rsidRPr="009D7D2E">
        <w:rPr>
          <w:rFonts w:ascii="Times New Roman" w:hAnsi="Times New Roman" w:cs="Times New Roman"/>
          <w:sz w:val="22"/>
          <w:szCs w:val="22"/>
        </w:rPr>
        <w:t xml:space="preserve">Rev. Rul. 89-96, </w:t>
      </w:r>
      <w:r>
        <w:rPr>
          <w:rFonts w:ascii="Times New Roman" w:hAnsi="Times New Roman" w:cs="Times New Roman"/>
          <w:sz w:val="22"/>
          <w:szCs w:val="22"/>
        </w:rPr>
        <w:t xml:space="preserve">referencing </w:t>
      </w:r>
      <w:r w:rsidRPr="009D7D2E">
        <w:rPr>
          <w:rFonts w:ascii="Times New Roman" w:hAnsi="Times New Roman" w:cs="Times New Roman"/>
          <w:sz w:val="22"/>
          <w:szCs w:val="22"/>
        </w:rPr>
        <w:t>the</w:t>
      </w:r>
      <w:r>
        <w:rPr>
          <w:rFonts w:ascii="Times New Roman" w:hAnsi="Times New Roman" w:cs="Times New Roman"/>
          <w:sz w:val="22"/>
          <w:szCs w:val="22"/>
        </w:rPr>
        <w:t xml:space="preserve"> Las Vegas </w:t>
      </w:r>
      <w:r w:rsidRPr="009D7D2E">
        <w:rPr>
          <w:rFonts w:ascii="Times New Roman" w:hAnsi="Times New Roman" w:cs="Times New Roman"/>
          <w:sz w:val="22"/>
          <w:szCs w:val="22"/>
        </w:rPr>
        <w:t xml:space="preserve">MGM Grand </w:t>
      </w:r>
      <w:r>
        <w:rPr>
          <w:rFonts w:ascii="Times New Roman" w:hAnsi="Times New Roman" w:cs="Times New Roman"/>
          <w:sz w:val="22"/>
          <w:szCs w:val="22"/>
        </w:rPr>
        <w:t>fire</w:t>
      </w:r>
      <w:r w:rsidRPr="009D7D2E">
        <w:rPr>
          <w:rFonts w:ascii="Times New Roman" w:hAnsi="Times New Roman" w:cs="Times New Roman"/>
          <w:sz w:val="22"/>
          <w:szCs w:val="22"/>
        </w:rPr>
        <w:t xml:space="preserve"> </w:t>
      </w:r>
      <w:r>
        <w:rPr>
          <w:rFonts w:ascii="Times New Roman" w:hAnsi="Times New Roman" w:cs="Times New Roman"/>
          <w:sz w:val="22"/>
          <w:szCs w:val="22"/>
        </w:rPr>
        <w:t xml:space="preserve">in 1980.  The </w:t>
      </w:r>
      <w:r w:rsidRPr="009D7D2E">
        <w:rPr>
          <w:rFonts w:ascii="Times New Roman" w:hAnsi="Times New Roman" w:cs="Times New Roman"/>
          <w:sz w:val="22"/>
          <w:szCs w:val="22"/>
        </w:rPr>
        <w:t>ruling addresses a taxpayer that, because</w:t>
      </w:r>
      <w:r>
        <w:rPr>
          <w:rFonts w:ascii="Times New Roman" w:hAnsi="Times New Roman" w:cs="Times New Roman"/>
          <w:sz w:val="22"/>
          <w:szCs w:val="22"/>
        </w:rPr>
        <w:t xml:space="preserve"> </w:t>
      </w:r>
      <w:r w:rsidRPr="009D7D2E">
        <w:rPr>
          <w:rFonts w:ascii="Times New Roman" w:hAnsi="Times New Roman" w:cs="Times New Roman"/>
          <w:sz w:val="22"/>
          <w:szCs w:val="22"/>
        </w:rPr>
        <w:t>of a catastrophe, incurs a liability of unknown size that</w:t>
      </w:r>
      <w:r>
        <w:rPr>
          <w:rFonts w:ascii="Times New Roman" w:hAnsi="Times New Roman" w:cs="Times New Roman"/>
          <w:sz w:val="22"/>
          <w:szCs w:val="22"/>
        </w:rPr>
        <w:t xml:space="preserve"> </w:t>
      </w:r>
      <w:r w:rsidRPr="009D7D2E">
        <w:rPr>
          <w:rFonts w:ascii="Times New Roman" w:hAnsi="Times New Roman" w:cs="Times New Roman"/>
          <w:sz w:val="22"/>
          <w:szCs w:val="22"/>
        </w:rPr>
        <w:t>greatly exceeds the taxpayer’s current liability insurance</w:t>
      </w:r>
      <w:r>
        <w:rPr>
          <w:rFonts w:ascii="Times New Roman" w:hAnsi="Times New Roman" w:cs="Times New Roman"/>
          <w:sz w:val="22"/>
          <w:szCs w:val="22"/>
        </w:rPr>
        <w:t xml:space="preserve"> </w:t>
      </w:r>
      <w:r w:rsidRPr="009D7D2E">
        <w:rPr>
          <w:rFonts w:ascii="Times New Roman" w:hAnsi="Times New Roman" w:cs="Times New Roman"/>
          <w:sz w:val="22"/>
          <w:szCs w:val="22"/>
        </w:rPr>
        <w:t>coverage. After the catastrophe, the taxpayer enters into</w:t>
      </w:r>
      <w:r>
        <w:rPr>
          <w:rFonts w:ascii="Times New Roman" w:hAnsi="Times New Roman" w:cs="Times New Roman"/>
          <w:sz w:val="22"/>
          <w:szCs w:val="22"/>
        </w:rPr>
        <w:t xml:space="preserve"> </w:t>
      </w:r>
      <w:r w:rsidRPr="009D7D2E">
        <w:rPr>
          <w:rFonts w:ascii="Times New Roman" w:hAnsi="Times New Roman" w:cs="Times New Roman"/>
          <w:sz w:val="22"/>
          <w:szCs w:val="22"/>
        </w:rPr>
        <w:t>an arrangement with an insurer under which the insurer</w:t>
      </w:r>
      <w:r>
        <w:rPr>
          <w:rFonts w:ascii="Times New Roman" w:hAnsi="Times New Roman" w:cs="Times New Roman"/>
          <w:sz w:val="22"/>
          <w:szCs w:val="22"/>
        </w:rPr>
        <w:t xml:space="preserve"> </w:t>
      </w:r>
      <w:r w:rsidRPr="009D7D2E">
        <w:rPr>
          <w:rFonts w:ascii="Times New Roman" w:hAnsi="Times New Roman" w:cs="Times New Roman"/>
          <w:sz w:val="22"/>
          <w:szCs w:val="22"/>
        </w:rPr>
        <w:t>would pay the taxpayer’s liability up to a cap (which cap</w:t>
      </w:r>
      <w:r>
        <w:rPr>
          <w:rFonts w:ascii="Times New Roman" w:hAnsi="Times New Roman" w:cs="Times New Roman"/>
          <w:sz w:val="22"/>
          <w:szCs w:val="22"/>
        </w:rPr>
        <w:t xml:space="preserve"> </w:t>
      </w:r>
      <w:r w:rsidRPr="009D7D2E">
        <w:rPr>
          <w:rFonts w:ascii="Times New Roman" w:hAnsi="Times New Roman" w:cs="Times New Roman"/>
          <w:sz w:val="22"/>
          <w:szCs w:val="22"/>
        </w:rPr>
        <w:t>was less than the total liability the taxpayer expected to</w:t>
      </w:r>
      <w:r>
        <w:rPr>
          <w:rFonts w:ascii="Times New Roman" w:hAnsi="Times New Roman" w:cs="Times New Roman"/>
          <w:sz w:val="22"/>
          <w:szCs w:val="22"/>
        </w:rPr>
        <w:t xml:space="preserve"> </w:t>
      </w:r>
      <w:r w:rsidRPr="009D7D2E">
        <w:rPr>
          <w:rFonts w:ascii="Times New Roman" w:hAnsi="Times New Roman" w:cs="Times New Roman"/>
          <w:sz w:val="22"/>
          <w:szCs w:val="22"/>
        </w:rPr>
        <w:t>pay out, so the insurer expected to pay out the full cap</w:t>
      </w:r>
      <w:r>
        <w:rPr>
          <w:rFonts w:ascii="Times New Roman" w:hAnsi="Times New Roman" w:cs="Times New Roman"/>
          <w:sz w:val="22"/>
          <w:szCs w:val="22"/>
        </w:rPr>
        <w:t xml:space="preserve"> </w:t>
      </w:r>
      <w:r w:rsidRPr="009D7D2E">
        <w:rPr>
          <w:rFonts w:ascii="Times New Roman" w:hAnsi="Times New Roman" w:cs="Times New Roman"/>
          <w:sz w:val="22"/>
          <w:szCs w:val="22"/>
        </w:rPr>
        <w:t>amount). The taxpayer paid the insurer a premium for</w:t>
      </w:r>
      <w:r>
        <w:rPr>
          <w:rFonts w:ascii="Times New Roman" w:hAnsi="Times New Roman" w:cs="Times New Roman"/>
          <w:sz w:val="22"/>
          <w:szCs w:val="22"/>
        </w:rPr>
        <w:t xml:space="preserve"> </w:t>
      </w:r>
      <w:r w:rsidRPr="009D7D2E">
        <w:rPr>
          <w:rFonts w:ascii="Times New Roman" w:hAnsi="Times New Roman" w:cs="Times New Roman"/>
          <w:sz w:val="22"/>
          <w:szCs w:val="22"/>
        </w:rPr>
        <w:t>entering into the arrangement.</w:t>
      </w:r>
      <w:r>
        <w:rPr>
          <w:rFonts w:ascii="Times New Roman" w:hAnsi="Times New Roman" w:cs="Times New Roman"/>
          <w:sz w:val="22"/>
          <w:szCs w:val="22"/>
        </w:rPr>
        <w:t xml:space="preserve">  </w:t>
      </w:r>
      <w:r w:rsidRPr="009D7D2E">
        <w:rPr>
          <w:rFonts w:ascii="Times New Roman" w:hAnsi="Times New Roman" w:cs="Times New Roman"/>
          <w:sz w:val="22"/>
          <w:szCs w:val="22"/>
        </w:rPr>
        <w:t>The ruling states that the arrangement “does not involve</w:t>
      </w:r>
      <w:r>
        <w:rPr>
          <w:rFonts w:ascii="Times New Roman" w:hAnsi="Times New Roman" w:cs="Times New Roman"/>
          <w:sz w:val="22"/>
          <w:szCs w:val="22"/>
        </w:rPr>
        <w:t xml:space="preserve"> </w:t>
      </w:r>
      <w:r w:rsidRPr="009D7D2E">
        <w:rPr>
          <w:rFonts w:ascii="Times New Roman" w:hAnsi="Times New Roman" w:cs="Times New Roman"/>
          <w:sz w:val="22"/>
          <w:szCs w:val="22"/>
        </w:rPr>
        <w:t xml:space="preserve">the requisite risk shifting necessary for insurance. </w:t>
      </w:r>
      <w:r w:rsidRPr="0000364A">
        <w:rPr>
          <w:rFonts w:ascii="Times New Roman" w:hAnsi="Times New Roman" w:cs="Times New Roman"/>
          <w:b/>
          <w:sz w:val="22"/>
          <w:szCs w:val="22"/>
        </w:rPr>
        <w:t xml:space="preserve">The catastrophe has already occurred, and the economic terms of the contract demonstrate the absence of any transfer of risk apart from an investment risk … Although the contract created certain risks for [the insurer], those risks are investment risks and not insurance risks. </w:t>
      </w:r>
      <w:r w:rsidRPr="00FB724B">
        <w:rPr>
          <w:rFonts w:ascii="Times New Roman" w:hAnsi="Times New Roman" w:cs="Times New Roman"/>
          <w:sz w:val="22"/>
          <w:szCs w:val="22"/>
        </w:rPr>
        <w:t>Specifically, the only risks borne by [the insurer] in this situation are that it will be required to make payments with respect to a known loss earlier than expected and that the available investment yield between the time of payment of the premiums and the time of payment of the claims will be lower than expected</w:t>
      </w:r>
      <w:r w:rsidRPr="009D7D2E">
        <w:rPr>
          <w:rFonts w:ascii="Times New Roman" w:hAnsi="Times New Roman" w:cs="Times New Roman"/>
          <w:sz w:val="22"/>
          <w:szCs w:val="22"/>
        </w:rPr>
        <w:t>.”</w:t>
      </w:r>
      <w:r>
        <w:rPr>
          <w:rFonts w:ascii="Times New Roman" w:hAnsi="Times New Roman" w:cs="Times New Roman"/>
          <w:sz w:val="22"/>
          <w:szCs w:val="22"/>
        </w:rPr>
        <w:t xml:space="preserve"> (Emphasis added).</w:t>
      </w:r>
    </w:p>
    <w:p w14:paraId="569FFE9F" w14:textId="77777777" w:rsidR="00FC046A" w:rsidRPr="009D7D2E" w:rsidRDefault="00FC046A" w:rsidP="00214CA7">
      <w:pPr>
        <w:pStyle w:val="EndnoteText"/>
        <w:rPr>
          <w:rFonts w:ascii="Times New Roman" w:hAnsi="Times New Roman" w:cs="Times New Roman"/>
          <w:sz w:val="22"/>
          <w:szCs w:val="22"/>
        </w:rPr>
      </w:pPr>
    </w:p>
  </w:endnote>
  <w:endnote w:id="169">
    <w:p w14:paraId="593BF2BE" w14:textId="17AAACC8" w:rsidR="00FC046A" w:rsidRDefault="00FC046A">
      <w:pPr>
        <w:pStyle w:val="EndnoteText"/>
        <w:rPr>
          <w:rFonts w:ascii="Times New Roman" w:hAnsi="Times New Roman" w:cs="Times New Roman"/>
          <w:sz w:val="22"/>
          <w:szCs w:val="22"/>
        </w:rPr>
      </w:pPr>
      <w:r w:rsidRPr="00D82782">
        <w:rPr>
          <w:rStyle w:val="EndnoteReference"/>
          <w:rFonts w:ascii="Times New Roman" w:hAnsi="Times New Roman" w:cs="Times New Roman"/>
          <w:sz w:val="22"/>
          <w:szCs w:val="22"/>
        </w:rPr>
        <w:endnoteRef/>
      </w:r>
      <w:r w:rsidRPr="00D82782">
        <w:rPr>
          <w:rFonts w:ascii="Times New Roman" w:hAnsi="Times New Roman" w:cs="Times New Roman"/>
          <w:sz w:val="22"/>
          <w:szCs w:val="22"/>
        </w:rPr>
        <w:t xml:space="preserve"> </w:t>
      </w:r>
      <w:r>
        <w:rPr>
          <w:rFonts w:ascii="Times New Roman" w:hAnsi="Times New Roman" w:cs="Times New Roman"/>
          <w:sz w:val="22"/>
          <w:szCs w:val="22"/>
        </w:rPr>
        <w:t xml:space="preserve">Opinion at 47. </w:t>
      </w:r>
    </w:p>
    <w:p w14:paraId="6BDC3C7C" w14:textId="77777777" w:rsidR="00FC046A" w:rsidRPr="00D82782" w:rsidRDefault="00FC046A">
      <w:pPr>
        <w:pStyle w:val="EndnoteText"/>
        <w:rPr>
          <w:rFonts w:ascii="Times New Roman" w:hAnsi="Times New Roman" w:cs="Times New Roman"/>
          <w:sz w:val="22"/>
          <w:szCs w:val="22"/>
        </w:rPr>
      </w:pPr>
    </w:p>
  </w:endnote>
  <w:endnote w:id="170">
    <w:p w14:paraId="7B095C9A" w14:textId="2E9A2B22" w:rsidR="00FC046A" w:rsidRPr="00111F68" w:rsidRDefault="00FC046A">
      <w:pPr>
        <w:pStyle w:val="EndnoteText"/>
        <w:rPr>
          <w:rFonts w:ascii="Times New Roman" w:hAnsi="Times New Roman" w:cs="Times New Roman"/>
          <w:sz w:val="22"/>
          <w:szCs w:val="22"/>
        </w:rPr>
      </w:pPr>
      <w:r w:rsidRPr="00111F68">
        <w:rPr>
          <w:rStyle w:val="EndnoteReference"/>
          <w:rFonts w:ascii="Times New Roman" w:hAnsi="Times New Roman" w:cs="Times New Roman"/>
          <w:sz w:val="22"/>
          <w:szCs w:val="22"/>
        </w:rPr>
        <w:endnoteRef/>
      </w:r>
      <w:r w:rsidRPr="00111F68">
        <w:rPr>
          <w:rFonts w:ascii="Times New Roman" w:hAnsi="Times New Roman" w:cs="Times New Roman"/>
          <w:sz w:val="22"/>
          <w:szCs w:val="22"/>
        </w:rPr>
        <w:t xml:space="preserve"> </w:t>
      </w:r>
      <w:r>
        <w:rPr>
          <w:rFonts w:ascii="Times New Roman" w:hAnsi="Times New Roman" w:cs="Times New Roman"/>
          <w:sz w:val="22"/>
          <w:szCs w:val="22"/>
        </w:rPr>
        <w:t xml:space="preserve">Opinion at 62. </w:t>
      </w:r>
    </w:p>
    <w:p w14:paraId="31326E04" w14:textId="77777777" w:rsidR="00FC046A" w:rsidRDefault="00FC046A">
      <w:pPr>
        <w:pStyle w:val="EndnoteText"/>
      </w:pPr>
    </w:p>
  </w:endnote>
  <w:endnote w:id="171">
    <w:p w14:paraId="76B362D8" w14:textId="6413F275" w:rsidR="00FC046A" w:rsidRDefault="00FC046A">
      <w:pPr>
        <w:pStyle w:val="EndnoteText"/>
        <w:rPr>
          <w:rFonts w:ascii="Times New Roman" w:hAnsi="Times New Roman" w:cs="Times New Roman"/>
          <w:sz w:val="22"/>
          <w:szCs w:val="22"/>
        </w:rPr>
      </w:pPr>
      <w:r w:rsidRPr="00A95E1B">
        <w:rPr>
          <w:rStyle w:val="EndnoteReference"/>
          <w:rFonts w:ascii="Times New Roman" w:hAnsi="Times New Roman" w:cs="Times New Roman"/>
          <w:sz w:val="22"/>
          <w:szCs w:val="22"/>
        </w:rPr>
        <w:endnoteRef/>
      </w:r>
      <w:r w:rsidRPr="00A95E1B">
        <w:rPr>
          <w:rFonts w:ascii="Times New Roman" w:hAnsi="Times New Roman" w:cs="Times New Roman"/>
          <w:sz w:val="22"/>
          <w:szCs w:val="22"/>
        </w:rPr>
        <w:t xml:space="preserve"> </w:t>
      </w:r>
      <w:r>
        <w:rPr>
          <w:rFonts w:ascii="Times New Roman" w:hAnsi="Times New Roman" w:cs="Times New Roman"/>
          <w:sz w:val="22"/>
          <w:szCs w:val="22"/>
        </w:rPr>
        <w:t xml:space="preserve">The trial in </w:t>
      </w:r>
      <w:r w:rsidRPr="00972218">
        <w:rPr>
          <w:rFonts w:ascii="Times New Roman" w:hAnsi="Times New Roman" w:cs="Times New Roman"/>
          <w:i/>
          <w:sz w:val="22"/>
          <w:szCs w:val="22"/>
        </w:rPr>
        <w:t>Reserve</w:t>
      </w:r>
      <w:r>
        <w:rPr>
          <w:rFonts w:ascii="Times New Roman" w:hAnsi="Times New Roman" w:cs="Times New Roman"/>
          <w:sz w:val="22"/>
          <w:szCs w:val="22"/>
        </w:rPr>
        <w:t xml:space="preserve"> concluded on May 2, 2017.  Petitioner’s and Respondent’s opening briefs were filed simultaneously on or about August 5, 2017.  </w:t>
      </w:r>
      <w:r w:rsidRPr="00421FC5">
        <w:rPr>
          <w:rFonts w:ascii="Times New Roman" w:hAnsi="Times New Roman" w:cs="Times New Roman"/>
          <w:b/>
          <w:i/>
          <w:sz w:val="22"/>
          <w:szCs w:val="22"/>
        </w:rPr>
        <w:t>Avrahami v. Commissioner</w:t>
      </w:r>
      <w:r w:rsidRPr="00D13641">
        <w:rPr>
          <w:rFonts w:ascii="Times New Roman" w:hAnsi="Times New Roman" w:cs="Times New Roman"/>
          <w:b/>
          <w:sz w:val="22"/>
          <w:szCs w:val="22"/>
        </w:rPr>
        <w:t xml:space="preserve"> was </w:t>
      </w:r>
      <w:r>
        <w:rPr>
          <w:rFonts w:ascii="Times New Roman" w:hAnsi="Times New Roman" w:cs="Times New Roman"/>
          <w:b/>
          <w:sz w:val="22"/>
          <w:szCs w:val="22"/>
        </w:rPr>
        <w:t xml:space="preserve">not </w:t>
      </w:r>
      <w:r w:rsidRPr="00D13641">
        <w:rPr>
          <w:rFonts w:ascii="Times New Roman" w:hAnsi="Times New Roman" w:cs="Times New Roman"/>
          <w:b/>
          <w:sz w:val="22"/>
          <w:szCs w:val="22"/>
        </w:rPr>
        <w:t xml:space="preserve">decided </w:t>
      </w:r>
      <w:r>
        <w:rPr>
          <w:rFonts w:ascii="Times New Roman" w:hAnsi="Times New Roman" w:cs="Times New Roman"/>
          <w:b/>
          <w:sz w:val="22"/>
          <w:szCs w:val="22"/>
        </w:rPr>
        <w:t>by the Tax Court until</w:t>
      </w:r>
      <w:r w:rsidRPr="00D13641">
        <w:rPr>
          <w:rFonts w:ascii="Times New Roman" w:hAnsi="Times New Roman" w:cs="Times New Roman"/>
          <w:b/>
          <w:sz w:val="22"/>
          <w:szCs w:val="22"/>
        </w:rPr>
        <w:t xml:space="preserve"> August 21, 2017</w:t>
      </w:r>
      <w:r>
        <w:rPr>
          <w:rFonts w:ascii="Times New Roman" w:hAnsi="Times New Roman" w:cs="Times New Roman"/>
          <w:sz w:val="22"/>
          <w:szCs w:val="22"/>
        </w:rPr>
        <w:t>.</w:t>
      </w:r>
    </w:p>
    <w:p w14:paraId="5AE3FF0A" w14:textId="77777777" w:rsidR="00FC046A" w:rsidRPr="00A95E1B" w:rsidRDefault="00FC046A">
      <w:pPr>
        <w:pStyle w:val="EndnoteText"/>
        <w:rPr>
          <w:rFonts w:ascii="Times New Roman" w:hAnsi="Times New Roman" w:cs="Times New Roman"/>
          <w:sz w:val="22"/>
          <w:szCs w:val="22"/>
        </w:rPr>
      </w:pPr>
    </w:p>
  </w:endnote>
  <w:endnote w:id="172">
    <w:p w14:paraId="77BC0529" w14:textId="3957C566" w:rsidR="00FC046A" w:rsidRDefault="00FC046A">
      <w:pPr>
        <w:pStyle w:val="EndnoteText"/>
        <w:rPr>
          <w:rFonts w:ascii="Times New Roman" w:hAnsi="Times New Roman" w:cs="Times New Roman"/>
          <w:sz w:val="22"/>
          <w:szCs w:val="22"/>
        </w:rPr>
      </w:pPr>
      <w:r w:rsidRPr="00D778DA">
        <w:rPr>
          <w:rStyle w:val="EndnoteReference"/>
          <w:rFonts w:ascii="Times New Roman" w:hAnsi="Times New Roman" w:cs="Times New Roman"/>
          <w:sz w:val="22"/>
          <w:szCs w:val="22"/>
        </w:rPr>
        <w:endnoteRef/>
      </w:r>
      <w:r w:rsidRPr="00D778DA">
        <w:rPr>
          <w:rFonts w:ascii="Times New Roman" w:hAnsi="Times New Roman" w:cs="Times New Roman"/>
          <w:sz w:val="22"/>
          <w:szCs w:val="22"/>
        </w:rPr>
        <w:t xml:space="preserve"> </w:t>
      </w:r>
      <w:r>
        <w:rPr>
          <w:rFonts w:ascii="Times New Roman" w:hAnsi="Times New Roman" w:cs="Times New Roman"/>
          <w:sz w:val="22"/>
          <w:szCs w:val="22"/>
        </w:rPr>
        <w:t xml:space="preserve">See </w:t>
      </w:r>
      <w:r w:rsidRPr="00583418">
        <w:rPr>
          <w:rFonts w:ascii="Times New Roman" w:hAnsi="Times New Roman" w:cs="Times New Roman"/>
          <w:i/>
          <w:sz w:val="22"/>
          <w:szCs w:val="22"/>
        </w:rPr>
        <w:t>Avrahami</w:t>
      </w:r>
      <w:r w:rsidRPr="00583418">
        <w:rPr>
          <w:rFonts w:ascii="Times New Roman" w:hAnsi="Times New Roman" w:cs="Times New Roman"/>
          <w:sz w:val="22"/>
          <w:szCs w:val="22"/>
        </w:rPr>
        <w:t xml:space="preserve"> at 66-76.</w:t>
      </w:r>
      <w:r>
        <w:rPr>
          <w:rFonts w:ascii="Times New Roman" w:hAnsi="Times New Roman" w:cs="Times New Roman"/>
          <w:sz w:val="22"/>
          <w:szCs w:val="22"/>
        </w:rPr>
        <w:t xml:space="preserve">  </w:t>
      </w:r>
    </w:p>
    <w:p w14:paraId="031EF0A2" w14:textId="77777777" w:rsidR="00FC046A" w:rsidRPr="00583418" w:rsidRDefault="00FC046A">
      <w:pPr>
        <w:pStyle w:val="EndnoteText"/>
        <w:rPr>
          <w:rFonts w:ascii="Times New Roman" w:hAnsi="Times New Roman" w:cs="Times New Roman"/>
          <w:sz w:val="22"/>
          <w:szCs w:val="22"/>
        </w:rPr>
      </w:pPr>
    </w:p>
  </w:endnote>
  <w:endnote w:id="173">
    <w:p w14:paraId="55021858" w14:textId="4E33187A" w:rsidR="00FC046A" w:rsidRPr="00C0402B" w:rsidRDefault="00FC046A">
      <w:pPr>
        <w:pStyle w:val="EndnoteText"/>
        <w:rPr>
          <w:rFonts w:ascii="Times New Roman" w:hAnsi="Times New Roman" w:cs="Times New Roman"/>
          <w:sz w:val="22"/>
          <w:szCs w:val="22"/>
        </w:rPr>
      </w:pPr>
      <w:r w:rsidRPr="00583418">
        <w:rPr>
          <w:rStyle w:val="EndnoteReference"/>
          <w:rFonts w:ascii="Times New Roman" w:hAnsi="Times New Roman" w:cs="Times New Roman"/>
          <w:sz w:val="22"/>
          <w:szCs w:val="22"/>
        </w:rPr>
        <w:endnoteRef/>
      </w:r>
      <w:r w:rsidRPr="00583418">
        <w:rPr>
          <w:rFonts w:ascii="Times New Roman" w:hAnsi="Times New Roman" w:cs="Times New Roman"/>
          <w:sz w:val="22"/>
          <w:szCs w:val="22"/>
        </w:rPr>
        <w:t xml:space="preserve"> </w:t>
      </w:r>
      <w:r>
        <w:rPr>
          <w:rFonts w:ascii="Times New Roman" w:hAnsi="Times New Roman" w:cs="Times New Roman"/>
          <w:sz w:val="22"/>
          <w:szCs w:val="22"/>
        </w:rPr>
        <w:t xml:space="preserve">In </w:t>
      </w:r>
      <w:r w:rsidRPr="008E2FC8">
        <w:rPr>
          <w:rFonts w:ascii="Times New Roman" w:hAnsi="Times New Roman" w:cs="Times New Roman"/>
          <w:i/>
          <w:sz w:val="22"/>
          <w:szCs w:val="22"/>
        </w:rPr>
        <w:t>Avrahami</w:t>
      </w:r>
      <w:r>
        <w:rPr>
          <w:rFonts w:ascii="Times New Roman" w:hAnsi="Times New Roman" w:cs="Times New Roman"/>
          <w:sz w:val="22"/>
          <w:szCs w:val="22"/>
        </w:rPr>
        <w:t xml:space="preserve">, Judge Holmes erroneously cited to the </w:t>
      </w:r>
      <w:r w:rsidRPr="00583418">
        <w:rPr>
          <w:rFonts w:ascii="Times New Roman" w:hAnsi="Times New Roman" w:cs="Times New Roman"/>
          <w:i/>
          <w:sz w:val="22"/>
          <w:szCs w:val="22"/>
        </w:rPr>
        <w:t>Rent-A-Center</w:t>
      </w:r>
      <w:r>
        <w:rPr>
          <w:rFonts w:ascii="Times New Roman" w:hAnsi="Times New Roman" w:cs="Times New Roman"/>
          <w:sz w:val="22"/>
          <w:szCs w:val="22"/>
        </w:rPr>
        <w:t xml:space="preserve"> case (which did not involve a pooling </w:t>
      </w:r>
      <w:r w:rsidRPr="00C0402B">
        <w:rPr>
          <w:rFonts w:ascii="Times New Roman" w:hAnsi="Times New Roman" w:cs="Times New Roman"/>
          <w:sz w:val="22"/>
          <w:szCs w:val="22"/>
        </w:rPr>
        <w:t xml:space="preserve">arrangement) for the proposition that the Pan American pooling arrangement (present in </w:t>
      </w:r>
      <w:r w:rsidRPr="00C0402B">
        <w:rPr>
          <w:rFonts w:ascii="Times New Roman" w:hAnsi="Times New Roman" w:cs="Times New Roman"/>
          <w:i/>
          <w:sz w:val="22"/>
          <w:szCs w:val="22"/>
        </w:rPr>
        <w:t>Avrahami</w:t>
      </w:r>
      <w:r w:rsidRPr="00C0402B">
        <w:rPr>
          <w:rFonts w:ascii="Times New Roman" w:hAnsi="Times New Roman" w:cs="Times New Roman"/>
          <w:sz w:val="22"/>
          <w:szCs w:val="22"/>
        </w:rPr>
        <w:t>) had to be a bona fide insurance company.</w:t>
      </w:r>
      <w:r>
        <w:rPr>
          <w:rFonts w:ascii="Times New Roman" w:hAnsi="Times New Roman" w:cs="Times New Roman"/>
          <w:sz w:val="22"/>
          <w:szCs w:val="22"/>
        </w:rPr>
        <w:t xml:space="preserve"> This concept was nowhere addressed in </w:t>
      </w:r>
      <w:r w:rsidRPr="00583418">
        <w:rPr>
          <w:rFonts w:ascii="Times New Roman" w:hAnsi="Times New Roman" w:cs="Times New Roman"/>
          <w:i/>
          <w:sz w:val="22"/>
          <w:szCs w:val="22"/>
        </w:rPr>
        <w:t>Rent-A-Center</w:t>
      </w:r>
      <w:r>
        <w:rPr>
          <w:rFonts w:ascii="Times New Roman" w:hAnsi="Times New Roman" w:cs="Times New Roman"/>
          <w:i/>
          <w:sz w:val="22"/>
          <w:szCs w:val="22"/>
        </w:rPr>
        <w:t>.</w:t>
      </w:r>
    </w:p>
    <w:p w14:paraId="4C6CC93A" w14:textId="77777777" w:rsidR="00FC046A" w:rsidRPr="00C0402B" w:rsidRDefault="00FC046A">
      <w:pPr>
        <w:pStyle w:val="EndnoteText"/>
        <w:rPr>
          <w:rFonts w:ascii="Times New Roman" w:hAnsi="Times New Roman" w:cs="Times New Roman"/>
          <w:sz w:val="22"/>
          <w:szCs w:val="22"/>
        </w:rPr>
      </w:pPr>
    </w:p>
  </w:endnote>
  <w:endnote w:id="174">
    <w:p w14:paraId="04709E13" w14:textId="4416207A" w:rsidR="00FC046A" w:rsidRPr="00AE5674" w:rsidRDefault="00FC046A" w:rsidP="00D9333C">
      <w:pPr>
        <w:pStyle w:val="EndnoteText"/>
        <w:rPr>
          <w:rFonts w:ascii="Times New Roman" w:hAnsi="Times New Roman" w:cs="Times New Roman"/>
          <w:sz w:val="22"/>
          <w:szCs w:val="22"/>
        </w:rPr>
      </w:pPr>
      <w:r w:rsidRPr="00C0402B">
        <w:rPr>
          <w:rStyle w:val="EndnoteReference"/>
          <w:rFonts w:ascii="Times New Roman" w:hAnsi="Times New Roman" w:cs="Times New Roman"/>
          <w:sz w:val="22"/>
          <w:szCs w:val="22"/>
        </w:rPr>
        <w:endnoteRef/>
      </w:r>
      <w:r w:rsidRPr="00C0402B">
        <w:rPr>
          <w:rFonts w:ascii="Times New Roman" w:hAnsi="Times New Roman" w:cs="Times New Roman"/>
          <w:sz w:val="22"/>
          <w:szCs w:val="22"/>
        </w:rPr>
        <w:t xml:space="preserve"> See Exhibit 104-P (Expert Report of Dr. Neil Doherty, March 27, 2017) at </w:t>
      </w:r>
      <w:r>
        <w:rPr>
          <w:rFonts w:ascii="Times New Roman" w:hAnsi="Times New Roman" w:cs="Times New Roman"/>
          <w:sz w:val="22"/>
          <w:szCs w:val="22"/>
        </w:rPr>
        <w:t>19, concluding as to the efficacy of Reserve’s participation in PoolRe in distributing risk: “</w:t>
      </w:r>
      <w:r w:rsidRPr="00D9333C">
        <w:rPr>
          <w:rFonts w:ascii="Times New Roman" w:hAnsi="Times New Roman" w:cs="Times New Roman"/>
          <w:sz w:val="22"/>
          <w:szCs w:val="22"/>
        </w:rPr>
        <w:t>Pool Re insures more than 150 largely unrelated business entities that are</w:t>
      </w:r>
      <w:r>
        <w:rPr>
          <w:rFonts w:ascii="Times New Roman" w:hAnsi="Times New Roman" w:cs="Times New Roman"/>
          <w:sz w:val="22"/>
          <w:szCs w:val="22"/>
        </w:rPr>
        <w:t xml:space="preserve"> </w:t>
      </w:r>
      <w:r w:rsidRPr="00D9333C">
        <w:rPr>
          <w:rFonts w:ascii="Times New Roman" w:hAnsi="Times New Roman" w:cs="Times New Roman"/>
          <w:sz w:val="22"/>
          <w:szCs w:val="22"/>
        </w:rPr>
        <w:t>affiliates of the 50+ such captive insurance companies.</w:t>
      </w:r>
      <w:r>
        <w:rPr>
          <w:rFonts w:ascii="Times New Roman" w:hAnsi="Times New Roman" w:cs="Times New Roman"/>
          <w:sz w:val="22"/>
          <w:szCs w:val="22"/>
        </w:rPr>
        <w:t xml:space="preserve">  </w:t>
      </w:r>
      <w:r w:rsidRPr="00D9333C">
        <w:rPr>
          <w:rFonts w:ascii="Times New Roman" w:hAnsi="Times New Roman" w:cs="Times New Roman"/>
          <w:sz w:val="22"/>
          <w:szCs w:val="22"/>
        </w:rPr>
        <w:t>This pooled insurance risk of Pool Re</w:t>
      </w:r>
      <w:r>
        <w:rPr>
          <w:rFonts w:ascii="Times New Roman" w:hAnsi="Times New Roman" w:cs="Times New Roman"/>
          <w:sz w:val="22"/>
          <w:szCs w:val="22"/>
        </w:rPr>
        <w:t xml:space="preserve"> </w:t>
      </w:r>
      <w:r w:rsidRPr="00D9333C">
        <w:rPr>
          <w:rFonts w:ascii="Times New Roman" w:hAnsi="Times New Roman" w:cs="Times New Roman"/>
          <w:sz w:val="22"/>
          <w:szCs w:val="22"/>
        </w:rPr>
        <w:t>is then reinsured back to these captives on a proportional basis. The effect is that the captives,</w:t>
      </w:r>
      <w:r>
        <w:rPr>
          <w:rFonts w:ascii="Times New Roman" w:hAnsi="Times New Roman" w:cs="Times New Roman"/>
          <w:sz w:val="22"/>
          <w:szCs w:val="22"/>
        </w:rPr>
        <w:t xml:space="preserve"> </w:t>
      </w:r>
      <w:r w:rsidRPr="00D9333C">
        <w:rPr>
          <w:rFonts w:ascii="Times New Roman" w:hAnsi="Times New Roman" w:cs="Times New Roman"/>
          <w:sz w:val="22"/>
          <w:szCs w:val="22"/>
        </w:rPr>
        <w:t>such as Reserve, insure the smaller losses of their affiliates, but pool the larger losses in such a</w:t>
      </w:r>
      <w:r>
        <w:rPr>
          <w:rFonts w:ascii="Times New Roman" w:hAnsi="Times New Roman" w:cs="Times New Roman"/>
          <w:sz w:val="22"/>
          <w:szCs w:val="22"/>
        </w:rPr>
        <w:t xml:space="preserve"> </w:t>
      </w:r>
      <w:r w:rsidRPr="00D9333C">
        <w:rPr>
          <w:rFonts w:ascii="Times New Roman" w:hAnsi="Times New Roman" w:cs="Times New Roman"/>
          <w:sz w:val="22"/>
          <w:szCs w:val="22"/>
        </w:rPr>
        <w:t>manner that each captive typically ends up bearing less than 1/50th of these larger losses. Thus,</w:t>
      </w:r>
      <w:r>
        <w:rPr>
          <w:rFonts w:ascii="Times New Roman" w:hAnsi="Times New Roman" w:cs="Times New Roman"/>
          <w:sz w:val="22"/>
          <w:szCs w:val="22"/>
        </w:rPr>
        <w:t xml:space="preserve"> </w:t>
      </w:r>
      <w:r w:rsidRPr="00D9333C">
        <w:rPr>
          <w:rFonts w:ascii="Times New Roman" w:hAnsi="Times New Roman" w:cs="Times New Roman"/>
          <w:sz w:val="22"/>
          <w:szCs w:val="22"/>
        </w:rPr>
        <w:t>the Capstone program enables Reserve (as well as its other member insurers) to spread their</w:t>
      </w:r>
      <w:r>
        <w:rPr>
          <w:rFonts w:ascii="Times New Roman" w:hAnsi="Times New Roman" w:cs="Times New Roman"/>
          <w:sz w:val="22"/>
          <w:szCs w:val="22"/>
        </w:rPr>
        <w:t xml:space="preserve"> </w:t>
      </w:r>
      <w:r w:rsidRPr="00D9333C">
        <w:rPr>
          <w:rFonts w:ascii="Times New Roman" w:hAnsi="Times New Roman" w:cs="Times New Roman"/>
          <w:sz w:val="22"/>
          <w:szCs w:val="22"/>
        </w:rPr>
        <w:t>various owners’ risks across a large pool of unrelated parties, thereby providing a wide</w:t>
      </w:r>
      <w:r>
        <w:rPr>
          <w:rFonts w:ascii="Times New Roman" w:hAnsi="Times New Roman" w:cs="Times New Roman"/>
          <w:sz w:val="22"/>
          <w:szCs w:val="22"/>
        </w:rPr>
        <w:t xml:space="preserve"> </w:t>
      </w:r>
      <w:r w:rsidRPr="00D9333C">
        <w:rPr>
          <w:rFonts w:ascii="Times New Roman" w:hAnsi="Times New Roman" w:cs="Times New Roman"/>
          <w:sz w:val="22"/>
          <w:szCs w:val="22"/>
        </w:rPr>
        <w:t>distribution of risk. But the distribution goes even further. In addition to the pooling of the risks</w:t>
      </w:r>
      <w:r>
        <w:rPr>
          <w:rFonts w:ascii="Times New Roman" w:hAnsi="Times New Roman" w:cs="Times New Roman"/>
          <w:sz w:val="22"/>
          <w:szCs w:val="22"/>
        </w:rPr>
        <w:t xml:space="preserve"> </w:t>
      </w:r>
      <w:r w:rsidRPr="00D9333C">
        <w:rPr>
          <w:rFonts w:ascii="Times New Roman" w:hAnsi="Times New Roman" w:cs="Times New Roman"/>
          <w:sz w:val="22"/>
          <w:szCs w:val="22"/>
        </w:rPr>
        <w:t>of all Capstone members, Pool Re also reinsures vehicle service contract risks of outside parties</w:t>
      </w:r>
      <w:r>
        <w:rPr>
          <w:rFonts w:ascii="Times New Roman" w:hAnsi="Times New Roman" w:cs="Times New Roman"/>
          <w:sz w:val="22"/>
          <w:szCs w:val="22"/>
        </w:rPr>
        <w:t xml:space="preserve"> </w:t>
      </w:r>
      <w:r w:rsidRPr="00D9333C">
        <w:rPr>
          <w:rFonts w:ascii="Times New Roman" w:hAnsi="Times New Roman" w:cs="Times New Roman"/>
          <w:sz w:val="22"/>
          <w:szCs w:val="22"/>
        </w:rPr>
        <w:t>(i.e</w:t>
      </w:r>
      <w:r>
        <w:rPr>
          <w:rFonts w:ascii="Times New Roman" w:hAnsi="Times New Roman" w:cs="Times New Roman"/>
          <w:sz w:val="22"/>
          <w:szCs w:val="22"/>
        </w:rPr>
        <w:t>.</w:t>
      </w:r>
      <w:r w:rsidRPr="00D9333C">
        <w:rPr>
          <w:rFonts w:ascii="Times New Roman" w:hAnsi="Times New Roman" w:cs="Times New Roman"/>
          <w:sz w:val="22"/>
          <w:szCs w:val="22"/>
        </w:rPr>
        <w:t>, unrelated to the Capstone member entities) and then cedes this risk back to Reserve and the</w:t>
      </w:r>
      <w:r>
        <w:rPr>
          <w:rFonts w:ascii="Times New Roman" w:hAnsi="Times New Roman" w:cs="Times New Roman"/>
          <w:sz w:val="22"/>
          <w:szCs w:val="22"/>
        </w:rPr>
        <w:t xml:space="preserve"> </w:t>
      </w:r>
      <w:r w:rsidRPr="00D9333C">
        <w:rPr>
          <w:rFonts w:ascii="Times New Roman" w:hAnsi="Times New Roman" w:cs="Times New Roman"/>
          <w:sz w:val="22"/>
          <w:szCs w:val="22"/>
        </w:rPr>
        <w:t>other Captives in the Pool Re program. In this way, Reserve is able to provide an effective and</w:t>
      </w:r>
      <w:r>
        <w:rPr>
          <w:rFonts w:ascii="Times New Roman" w:hAnsi="Times New Roman" w:cs="Times New Roman"/>
          <w:sz w:val="22"/>
          <w:szCs w:val="22"/>
        </w:rPr>
        <w:t xml:space="preserve"> </w:t>
      </w:r>
      <w:r w:rsidRPr="00D9333C">
        <w:rPr>
          <w:rFonts w:ascii="Times New Roman" w:hAnsi="Times New Roman" w:cs="Times New Roman"/>
          <w:sz w:val="22"/>
          <w:szCs w:val="22"/>
        </w:rPr>
        <w:t>widespread</w:t>
      </w:r>
      <w:r>
        <w:rPr>
          <w:rFonts w:ascii="Times New Roman" w:hAnsi="Times New Roman" w:cs="Times New Roman"/>
          <w:sz w:val="22"/>
          <w:szCs w:val="22"/>
        </w:rPr>
        <w:t xml:space="preserve"> </w:t>
      </w:r>
      <w:r w:rsidRPr="00AE5674">
        <w:rPr>
          <w:rFonts w:ascii="Times New Roman" w:hAnsi="Times New Roman" w:cs="Times New Roman"/>
          <w:sz w:val="22"/>
          <w:szCs w:val="22"/>
        </w:rPr>
        <w:t>distribution of risk as is typical of other insurance programs.”</w:t>
      </w:r>
    </w:p>
    <w:p w14:paraId="6F6CF6DF" w14:textId="77777777" w:rsidR="00FC046A" w:rsidRPr="00AE5674" w:rsidRDefault="00FC046A" w:rsidP="00D9333C">
      <w:pPr>
        <w:pStyle w:val="EndnoteText"/>
        <w:rPr>
          <w:rFonts w:ascii="Times New Roman" w:hAnsi="Times New Roman" w:cs="Times New Roman"/>
          <w:sz w:val="22"/>
          <w:szCs w:val="22"/>
        </w:rPr>
      </w:pPr>
    </w:p>
  </w:endnote>
  <w:endnote w:id="175">
    <w:p w14:paraId="5174463F" w14:textId="209F8D2D" w:rsidR="00FC046A" w:rsidRPr="00CA40E4" w:rsidRDefault="00FC046A" w:rsidP="003A08FC">
      <w:pPr>
        <w:pStyle w:val="EndnoteText"/>
        <w:rPr>
          <w:rFonts w:ascii="Times New Roman" w:hAnsi="Times New Roman" w:cs="Times New Roman"/>
          <w:sz w:val="22"/>
          <w:szCs w:val="22"/>
        </w:rPr>
      </w:pPr>
      <w:r w:rsidRPr="00B70B40">
        <w:rPr>
          <w:rStyle w:val="EndnoteReference"/>
          <w:rFonts w:ascii="Times New Roman" w:hAnsi="Times New Roman" w:cs="Times New Roman"/>
          <w:sz w:val="22"/>
          <w:szCs w:val="22"/>
        </w:rPr>
        <w:endnoteRef/>
      </w:r>
      <w:r w:rsidRPr="00B70B40">
        <w:rPr>
          <w:rFonts w:ascii="Times New Roman" w:hAnsi="Times New Roman" w:cs="Times New Roman"/>
          <w:sz w:val="22"/>
          <w:szCs w:val="22"/>
        </w:rPr>
        <w:t xml:space="preserve"> </w:t>
      </w:r>
      <w:r>
        <w:rPr>
          <w:rFonts w:ascii="Times New Roman" w:hAnsi="Times New Roman" w:cs="Times New Roman"/>
          <w:sz w:val="22"/>
          <w:szCs w:val="22"/>
        </w:rPr>
        <w:t>See Answer</w:t>
      </w:r>
      <w:r w:rsidRPr="006B4FE7">
        <w:rPr>
          <w:rFonts w:ascii="Times New Roman" w:hAnsi="Times New Roman" w:cs="Times New Roman"/>
          <w:sz w:val="22"/>
          <w:szCs w:val="22"/>
        </w:rPr>
        <w:t>ing Brief for Respondent (</w:t>
      </w:r>
      <w:r>
        <w:rPr>
          <w:rFonts w:ascii="Times New Roman" w:hAnsi="Times New Roman" w:cs="Times New Roman"/>
          <w:sz w:val="22"/>
          <w:szCs w:val="22"/>
        </w:rPr>
        <w:t>October 13</w:t>
      </w:r>
      <w:r w:rsidRPr="006B4FE7">
        <w:rPr>
          <w:rFonts w:ascii="Times New Roman" w:hAnsi="Times New Roman" w:cs="Times New Roman"/>
          <w:sz w:val="22"/>
          <w:szCs w:val="22"/>
        </w:rPr>
        <w:t xml:space="preserve">, 2017) at </w:t>
      </w:r>
      <w:r>
        <w:rPr>
          <w:rFonts w:ascii="Times New Roman" w:hAnsi="Times New Roman" w:cs="Times New Roman"/>
          <w:sz w:val="22"/>
          <w:szCs w:val="22"/>
        </w:rPr>
        <w:t xml:space="preserve">36, 40-41.  </w:t>
      </w:r>
      <w:r w:rsidRPr="00534364">
        <w:rPr>
          <w:rFonts w:ascii="Times New Roman" w:hAnsi="Times New Roman" w:cs="Times New Roman"/>
          <w:sz w:val="22"/>
          <w:szCs w:val="22"/>
        </w:rPr>
        <w:t xml:space="preserve">The government argued </w:t>
      </w:r>
      <w:r>
        <w:rPr>
          <w:rFonts w:ascii="Times New Roman" w:hAnsi="Times New Roman" w:cs="Times New Roman"/>
          <w:sz w:val="22"/>
          <w:szCs w:val="22"/>
        </w:rPr>
        <w:t xml:space="preserve">in its answering brief </w:t>
      </w:r>
      <w:r w:rsidRPr="00534364">
        <w:rPr>
          <w:rFonts w:ascii="Times New Roman" w:hAnsi="Times New Roman" w:cs="Times New Roman"/>
          <w:sz w:val="22"/>
          <w:szCs w:val="22"/>
        </w:rPr>
        <w:t xml:space="preserve">that the only evidence available regarding the pooling arrangement was the quota share agreement (which identified the participating captives by a number) and that </w:t>
      </w:r>
      <w:r>
        <w:rPr>
          <w:rFonts w:ascii="Times New Roman" w:hAnsi="Times New Roman" w:cs="Times New Roman"/>
          <w:sz w:val="22"/>
          <w:szCs w:val="22"/>
        </w:rPr>
        <w:t>“</w:t>
      </w:r>
      <w:r w:rsidRPr="00534364">
        <w:rPr>
          <w:rFonts w:ascii="Times New Roman" w:hAnsi="Times New Roman" w:cs="Times New Roman"/>
          <w:sz w:val="22"/>
          <w:szCs w:val="22"/>
        </w:rPr>
        <w:t xml:space="preserve">there was no evidence as to what other parties were involved as counterparties to the PoolRe reinsurance transactions, what their risks were, what amounts of exposure existed, and what industries, </w:t>
      </w:r>
      <w:r w:rsidRPr="00CA40E4">
        <w:rPr>
          <w:rFonts w:ascii="Times New Roman" w:hAnsi="Times New Roman" w:cs="Times New Roman"/>
          <w:sz w:val="22"/>
          <w:szCs w:val="22"/>
        </w:rPr>
        <w:t>locations, or operations they had.”</w:t>
      </w:r>
      <w:r w:rsidRPr="00AE4F2A">
        <w:rPr>
          <w:rFonts w:ascii="Times New Roman" w:hAnsi="Times New Roman" w:cs="Times New Roman"/>
          <w:sz w:val="22"/>
          <w:szCs w:val="22"/>
        </w:rPr>
        <w:t xml:space="preserve">  Before the </w:t>
      </w:r>
      <w:r w:rsidRPr="00AE4F2A">
        <w:rPr>
          <w:rFonts w:ascii="Times New Roman" w:hAnsi="Times New Roman" w:cs="Times New Roman"/>
          <w:i/>
          <w:sz w:val="22"/>
          <w:szCs w:val="22"/>
        </w:rPr>
        <w:t>Reserve</w:t>
      </w:r>
      <w:r w:rsidRPr="00AE4F2A">
        <w:rPr>
          <w:rFonts w:ascii="Times New Roman" w:hAnsi="Times New Roman" w:cs="Times New Roman"/>
          <w:sz w:val="22"/>
          <w:szCs w:val="22"/>
        </w:rPr>
        <w:t xml:space="preserve"> Opinion, no case had ever </w:t>
      </w:r>
      <w:r>
        <w:rPr>
          <w:rFonts w:ascii="Times New Roman" w:hAnsi="Times New Roman" w:cs="Times New Roman"/>
          <w:sz w:val="22"/>
          <w:szCs w:val="22"/>
        </w:rPr>
        <w:t xml:space="preserve">required as insurer to present evidence from each participant in a pooling arrangement </w:t>
      </w:r>
      <w:r w:rsidRPr="004401EF">
        <w:rPr>
          <w:rFonts w:ascii="Times New Roman" w:hAnsi="Times New Roman" w:cs="Times New Roman"/>
          <w:sz w:val="22"/>
          <w:szCs w:val="22"/>
        </w:rPr>
        <w:t>regarding the</w:t>
      </w:r>
      <w:r>
        <w:rPr>
          <w:rFonts w:ascii="Times New Roman" w:hAnsi="Times New Roman" w:cs="Times New Roman"/>
          <w:sz w:val="22"/>
          <w:szCs w:val="22"/>
        </w:rPr>
        <w:t>ir</w:t>
      </w:r>
      <w:r w:rsidRPr="004401EF">
        <w:rPr>
          <w:rFonts w:ascii="Times New Roman" w:hAnsi="Times New Roman" w:cs="Times New Roman"/>
          <w:sz w:val="22"/>
          <w:szCs w:val="22"/>
        </w:rPr>
        <w:t xml:space="preserve"> industries, locations,</w:t>
      </w:r>
      <w:r>
        <w:rPr>
          <w:rFonts w:ascii="Times New Roman" w:hAnsi="Times New Roman" w:cs="Times New Roman"/>
          <w:sz w:val="22"/>
          <w:szCs w:val="22"/>
        </w:rPr>
        <w:t xml:space="preserve"> </w:t>
      </w:r>
      <w:r w:rsidRPr="00603376">
        <w:rPr>
          <w:rFonts w:ascii="Times New Roman" w:hAnsi="Times New Roman" w:cs="Times New Roman"/>
          <w:sz w:val="22"/>
          <w:szCs w:val="22"/>
        </w:rPr>
        <w:t>operations, types of risks, and exposure</w:t>
      </w:r>
      <w:r>
        <w:rPr>
          <w:rFonts w:ascii="Times New Roman" w:hAnsi="Times New Roman" w:cs="Times New Roman"/>
          <w:sz w:val="22"/>
          <w:szCs w:val="22"/>
        </w:rPr>
        <w:t>s</w:t>
      </w:r>
      <w:r w:rsidRPr="00603376">
        <w:rPr>
          <w:rFonts w:ascii="Times New Roman" w:hAnsi="Times New Roman" w:cs="Times New Roman"/>
          <w:sz w:val="22"/>
          <w:szCs w:val="22"/>
        </w:rPr>
        <w:t xml:space="preserve"> to ris</w:t>
      </w:r>
      <w:r>
        <w:rPr>
          <w:rFonts w:ascii="Times New Roman" w:hAnsi="Times New Roman" w:cs="Times New Roman"/>
          <w:sz w:val="22"/>
          <w:szCs w:val="22"/>
        </w:rPr>
        <w:t xml:space="preserve">k.  Reserve met it burden of proof on the issue of risk distribution in the form of the expert testimony of Dr. Neil Doherty, a </w:t>
      </w:r>
      <w:r w:rsidRPr="0046486B">
        <w:rPr>
          <w:rFonts w:ascii="Times New Roman" w:hAnsi="Times New Roman" w:cs="Times New Roman"/>
          <w:sz w:val="22"/>
          <w:szCs w:val="22"/>
        </w:rPr>
        <w:t>nationally recognized Ph.D.-credentialed insurance economist from The Wharton School</w:t>
      </w:r>
      <w:r>
        <w:rPr>
          <w:rFonts w:ascii="Times New Roman" w:hAnsi="Times New Roman" w:cs="Times New Roman"/>
          <w:sz w:val="22"/>
          <w:szCs w:val="22"/>
        </w:rPr>
        <w:t>,</w:t>
      </w:r>
      <w:r w:rsidRPr="0046486B">
        <w:rPr>
          <w:rFonts w:ascii="Times New Roman" w:hAnsi="Times New Roman" w:cs="Times New Roman"/>
          <w:sz w:val="22"/>
          <w:szCs w:val="22"/>
        </w:rPr>
        <w:t xml:space="preserve"> </w:t>
      </w:r>
      <w:r>
        <w:rPr>
          <w:rFonts w:ascii="Times New Roman" w:hAnsi="Times New Roman" w:cs="Times New Roman"/>
          <w:sz w:val="22"/>
          <w:szCs w:val="22"/>
        </w:rPr>
        <w:t xml:space="preserve">who explained PoolRe’s pooling arrangement in detail and why the pooling arrangement was effective in achieving risk distribution on behalf of Reserve.  See </w:t>
      </w:r>
      <w:r w:rsidRPr="00B44E51">
        <w:rPr>
          <w:rFonts w:ascii="Times New Roman" w:hAnsi="Times New Roman" w:cs="Times New Roman"/>
          <w:sz w:val="22"/>
          <w:szCs w:val="22"/>
        </w:rPr>
        <w:t>Exhibit 104-P (Expert Report of Dr. Neil Doherty, dated March 27, 2017)</w:t>
      </w:r>
      <w:r>
        <w:rPr>
          <w:rFonts w:ascii="Times New Roman" w:hAnsi="Times New Roman" w:cs="Times New Roman"/>
          <w:sz w:val="22"/>
          <w:szCs w:val="22"/>
        </w:rPr>
        <w:t>, at 14-17, Part 2a (Risk Distribution).</w:t>
      </w:r>
    </w:p>
    <w:p w14:paraId="28C67444" w14:textId="77777777" w:rsidR="00FC046A" w:rsidRPr="00CA40E4" w:rsidRDefault="00FC046A">
      <w:pPr>
        <w:pStyle w:val="EndnoteText"/>
        <w:rPr>
          <w:rFonts w:ascii="Times New Roman" w:hAnsi="Times New Roman" w:cs="Times New Roman"/>
          <w:sz w:val="22"/>
          <w:szCs w:val="22"/>
        </w:rPr>
      </w:pPr>
    </w:p>
  </w:endnote>
  <w:endnote w:id="176">
    <w:p w14:paraId="14EB9D37" w14:textId="04925736" w:rsidR="00FC046A" w:rsidRDefault="00FC046A">
      <w:pPr>
        <w:pStyle w:val="EndnoteText"/>
        <w:rPr>
          <w:rFonts w:ascii="Times New Roman" w:hAnsi="Times New Roman" w:cs="Times New Roman"/>
          <w:sz w:val="22"/>
          <w:szCs w:val="22"/>
        </w:rPr>
      </w:pPr>
      <w:r w:rsidRPr="003E3877">
        <w:rPr>
          <w:rStyle w:val="EndnoteReference"/>
          <w:rFonts w:ascii="Times New Roman" w:hAnsi="Times New Roman" w:cs="Times New Roman"/>
          <w:sz w:val="22"/>
          <w:szCs w:val="22"/>
        </w:rPr>
        <w:endnoteRef/>
      </w:r>
      <w:r w:rsidRPr="003E3877">
        <w:rPr>
          <w:rFonts w:ascii="Times New Roman" w:hAnsi="Times New Roman" w:cs="Times New Roman"/>
          <w:sz w:val="22"/>
          <w:szCs w:val="22"/>
        </w:rPr>
        <w:t xml:space="preserve"> </w:t>
      </w:r>
      <w:r>
        <w:rPr>
          <w:rFonts w:ascii="Times New Roman" w:hAnsi="Times New Roman" w:cs="Times New Roman"/>
          <w:sz w:val="22"/>
          <w:szCs w:val="22"/>
        </w:rPr>
        <w:t>The first time that the issue of whether PoolRe was a bona fide insurance company was briefed by the parties was in the simultaneous answering briefs, which were filed on or about October 11, 2017.</w:t>
      </w:r>
    </w:p>
    <w:p w14:paraId="603641F7" w14:textId="77777777" w:rsidR="00FC046A" w:rsidRPr="008C156B" w:rsidRDefault="00FC046A">
      <w:pPr>
        <w:pStyle w:val="EndnoteText"/>
        <w:rPr>
          <w:rFonts w:ascii="Times New Roman" w:hAnsi="Times New Roman" w:cs="Times New Roman"/>
          <w:sz w:val="22"/>
          <w:szCs w:val="22"/>
        </w:rPr>
      </w:pPr>
    </w:p>
  </w:endnote>
  <w:endnote w:id="177">
    <w:p w14:paraId="19815719" w14:textId="2CCF0934" w:rsidR="00FC046A" w:rsidRDefault="00FC046A" w:rsidP="008C156B">
      <w:pPr>
        <w:pStyle w:val="EndnoteText"/>
        <w:rPr>
          <w:rFonts w:ascii="Times New Roman" w:hAnsi="Times New Roman" w:cs="Times New Roman"/>
          <w:sz w:val="22"/>
          <w:szCs w:val="22"/>
        </w:rPr>
      </w:pPr>
      <w:r w:rsidRPr="008C156B">
        <w:rPr>
          <w:rStyle w:val="EndnoteReference"/>
          <w:rFonts w:ascii="Times New Roman" w:hAnsi="Times New Roman" w:cs="Times New Roman"/>
          <w:sz w:val="22"/>
          <w:szCs w:val="22"/>
        </w:rPr>
        <w:endnoteRef/>
      </w:r>
      <w:r w:rsidRPr="008C156B">
        <w:rPr>
          <w:rFonts w:ascii="Times New Roman" w:hAnsi="Times New Roman" w:cs="Times New Roman"/>
          <w:sz w:val="22"/>
          <w:szCs w:val="22"/>
        </w:rPr>
        <w:t xml:space="preserve"> </w:t>
      </w:r>
      <w:r>
        <w:rPr>
          <w:rFonts w:ascii="Times New Roman" w:hAnsi="Times New Roman" w:cs="Times New Roman"/>
          <w:sz w:val="22"/>
          <w:szCs w:val="22"/>
        </w:rPr>
        <w:t xml:space="preserve">The Court issued an order on October 16, 2017 to provide both parties with an opportunity to submit an “issues memorandum” to address any issues related to the issuance of the </w:t>
      </w:r>
      <w:r w:rsidRPr="002C4EF1">
        <w:rPr>
          <w:rFonts w:ascii="Times New Roman" w:hAnsi="Times New Roman" w:cs="Times New Roman"/>
          <w:i/>
          <w:sz w:val="22"/>
          <w:szCs w:val="22"/>
        </w:rPr>
        <w:t>Avrahami</w:t>
      </w:r>
      <w:r>
        <w:rPr>
          <w:rFonts w:ascii="Times New Roman" w:hAnsi="Times New Roman" w:cs="Times New Roman"/>
          <w:sz w:val="22"/>
          <w:szCs w:val="22"/>
        </w:rPr>
        <w:t xml:space="preserve"> opinion.  Both parties </w:t>
      </w:r>
      <w:r w:rsidRPr="002519F9">
        <w:rPr>
          <w:rFonts w:ascii="Times New Roman" w:hAnsi="Times New Roman" w:cs="Times New Roman"/>
          <w:sz w:val="22"/>
          <w:szCs w:val="22"/>
        </w:rPr>
        <w:t xml:space="preserve">filed </w:t>
      </w:r>
      <w:r>
        <w:rPr>
          <w:rFonts w:ascii="Times New Roman" w:hAnsi="Times New Roman" w:cs="Times New Roman"/>
          <w:sz w:val="22"/>
          <w:szCs w:val="22"/>
        </w:rPr>
        <w:t xml:space="preserve">an </w:t>
      </w:r>
      <w:r w:rsidRPr="00465E60">
        <w:rPr>
          <w:rFonts w:ascii="Times New Roman" w:hAnsi="Times New Roman" w:cs="Times New Roman"/>
          <w:i/>
          <w:sz w:val="22"/>
          <w:szCs w:val="22"/>
        </w:rPr>
        <w:t>Avrahami</w:t>
      </w:r>
      <w:r>
        <w:rPr>
          <w:rFonts w:ascii="Times New Roman" w:hAnsi="Times New Roman" w:cs="Times New Roman"/>
          <w:sz w:val="22"/>
          <w:szCs w:val="22"/>
        </w:rPr>
        <w:t xml:space="preserve"> “issues memorandum” </w:t>
      </w:r>
      <w:r w:rsidRPr="002519F9">
        <w:rPr>
          <w:rFonts w:ascii="Times New Roman" w:hAnsi="Times New Roman" w:cs="Times New Roman"/>
          <w:sz w:val="22"/>
          <w:szCs w:val="22"/>
        </w:rPr>
        <w:t xml:space="preserve">on or about October </w:t>
      </w:r>
      <w:r>
        <w:rPr>
          <w:rFonts w:ascii="Times New Roman" w:hAnsi="Times New Roman" w:cs="Times New Roman"/>
          <w:sz w:val="22"/>
          <w:szCs w:val="22"/>
        </w:rPr>
        <w:t>3</w:t>
      </w:r>
      <w:r w:rsidRPr="002519F9">
        <w:rPr>
          <w:rFonts w:ascii="Times New Roman" w:hAnsi="Times New Roman" w:cs="Times New Roman"/>
          <w:sz w:val="22"/>
          <w:szCs w:val="22"/>
        </w:rPr>
        <w:t>1, 2017</w:t>
      </w:r>
      <w:r>
        <w:rPr>
          <w:rFonts w:ascii="Times New Roman" w:hAnsi="Times New Roman" w:cs="Times New Roman"/>
          <w:sz w:val="22"/>
          <w:szCs w:val="22"/>
        </w:rPr>
        <w:t>.</w:t>
      </w:r>
    </w:p>
    <w:p w14:paraId="5E4D02D9" w14:textId="1CCACA86" w:rsidR="00FC046A" w:rsidRPr="003752F6" w:rsidRDefault="00FC046A">
      <w:pPr>
        <w:pStyle w:val="EndnoteText"/>
        <w:rPr>
          <w:rFonts w:ascii="Times New Roman" w:hAnsi="Times New Roman" w:cs="Times New Roman"/>
          <w:sz w:val="22"/>
          <w:szCs w:val="22"/>
        </w:rPr>
      </w:pPr>
    </w:p>
  </w:endnote>
  <w:endnote w:id="178">
    <w:p w14:paraId="66706508" w14:textId="190CCCBC" w:rsidR="00FC046A" w:rsidRPr="00DE1E4A" w:rsidRDefault="00FC046A">
      <w:pPr>
        <w:pStyle w:val="EndnoteText"/>
        <w:rPr>
          <w:rFonts w:ascii="Times New Roman" w:hAnsi="Times New Roman" w:cs="Times New Roman"/>
          <w:sz w:val="22"/>
          <w:szCs w:val="22"/>
        </w:rPr>
      </w:pPr>
      <w:r w:rsidRPr="00DE1E4A">
        <w:rPr>
          <w:rStyle w:val="EndnoteReference"/>
          <w:rFonts w:ascii="Times New Roman" w:hAnsi="Times New Roman" w:cs="Times New Roman"/>
          <w:sz w:val="22"/>
          <w:szCs w:val="22"/>
        </w:rPr>
        <w:endnoteRef/>
      </w:r>
      <w:r w:rsidRPr="00DE1E4A">
        <w:rPr>
          <w:rFonts w:ascii="Times New Roman" w:hAnsi="Times New Roman" w:cs="Times New Roman"/>
          <w:sz w:val="22"/>
          <w:szCs w:val="22"/>
        </w:rPr>
        <w:t xml:space="preserve"> A party generally cannot raise a new issue on brief, see, e.g., </w:t>
      </w:r>
      <w:r w:rsidRPr="00DE1E4A">
        <w:rPr>
          <w:rFonts w:ascii="Times New Roman" w:hAnsi="Times New Roman" w:cs="Times New Roman"/>
          <w:i/>
          <w:sz w:val="22"/>
          <w:szCs w:val="22"/>
        </w:rPr>
        <w:t>Sundstrand Corp. v. Commissioner</w:t>
      </w:r>
      <w:r w:rsidRPr="00DE1E4A">
        <w:rPr>
          <w:rFonts w:ascii="Times New Roman" w:hAnsi="Times New Roman" w:cs="Times New Roman"/>
          <w:sz w:val="22"/>
          <w:szCs w:val="22"/>
        </w:rPr>
        <w:t xml:space="preserve">, 96 T.C. 226, 346-48 (1991), especially if it would surprise and prejudice the other party. </w:t>
      </w:r>
      <w:r w:rsidRPr="00DE1E4A">
        <w:rPr>
          <w:rFonts w:ascii="Times New Roman" w:hAnsi="Times New Roman" w:cs="Times New Roman"/>
          <w:i/>
          <w:sz w:val="22"/>
          <w:szCs w:val="22"/>
        </w:rPr>
        <w:t>Seligman v. Commissioner</w:t>
      </w:r>
      <w:r w:rsidRPr="00DE1E4A">
        <w:rPr>
          <w:rFonts w:ascii="Times New Roman" w:hAnsi="Times New Roman" w:cs="Times New Roman"/>
          <w:sz w:val="22"/>
          <w:szCs w:val="22"/>
        </w:rPr>
        <w:t>, 84 T.C. 191, 198 (1985), aff’d, 796 F.2d 116 (5th Cir. 1986).</w:t>
      </w:r>
      <w:r>
        <w:rPr>
          <w:rFonts w:ascii="Times New Roman" w:hAnsi="Times New Roman" w:cs="Times New Roman"/>
          <w:sz w:val="22"/>
          <w:szCs w:val="22"/>
        </w:rPr>
        <w:t xml:space="preserve">  </w:t>
      </w:r>
      <w:r w:rsidRPr="00DE1E4A">
        <w:rPr>
          <w:rFonts w:ascii="Times New Roman" w:hAnsi="Times New Roman" w:cs="Times New Roman"/>
          <w:sz w:val="22"/>
          <w:szCs w:val="22"/>
        </w:rPr>
        <w:t xml:space="preserve">A party must address all issues in its opening brief and may not reserve an argument for a reply brief such that the opposing party is disadvantaged by an inability to respond. </w:t>
      </w:r>
      <w:r w:rsidRPr="00D04FD4">
        <w:rPr>
          <w:rFonts w:ascii="Times New Roman" w:hAnsi="Times New Roman" w:cs="Times New Roman"/>
          <w:i/>
          <w:sz w:val="22"/>
          <w:szCs w:val="22"/>
        </w:rPr>
        <w:t>Hayden v. Commissioner</w:t>
      </w:r>
      <w:r w:rsidRPr="00DE1E4A">
        <w:rPr>
          <w:rFonts w:ascii="Times New Roman" w:hAnsi="Times New Roman" w:cs="Times New Roman"/>
          <w:sz w:val="22"/>
          <w:szCs w:val="22"/>
        </w:rPr>
        <w:t>, 55 T.C.M. (CCH) 1290, 1294</w:t>
      </w:r>
      <w:r>
        <w:rPr>
          <w:rFonts w:ascii="Times New Roman" w:hAnsi="Times New Roman" w:cs="Times New Roman"/>
          <w:sz w:val="22"/>
          <w:szCs w:val="22"/>
        </w:rPr>
        <w:t xml:space="preserve"> </w:t>
      </w:r>
      <w:r w:rsidRPr="00DE1E4A">
        <w:rPr>
          <w:rFonts w:ascii="Times New Roman" w:hAnsi="Times New Roman" w:cs="Times New Roman"/>
          <w:sz w:val="22"/>
          <w:szCs w:val="22"/>
        </w:rPr>
        <w:t xml:space="preserve">(argument raised for first time in reply brief was not considered), aff’d, 889 F.2d 1548 (6th Cir. 1988). The answering or reply brief should set forth any objections to disputed proposed findings in the opponent’s opening brief. Tax Ct. R. 151(e)(3). Otherwise, the Court may conclude that the answering party conceded the point. </w:t>
      </w:r>
      <w:r>
        <w:rPr>
          <w:rFonts w:ascii="Times New Roman" w:hAnsi="Times New Roman" w:cs="Times New Roman"/>
          <w:sz w:val="22"/>
          <w:szCs w:val="22"/>
        </w:rPr>
        <w:t xml:space="preserve"> See e</w:t>
      </w:r>
      <w:r w:rsidRPr="00DE1E4A">
        <w:rPr>
          <w:rFonts w:ascii="Times New Roman" w:hAnsi="Times New Roman" w:cs="Times New Roman"/>
          <w:sz w:val="22"/>
          <w:szCs w:val="22"/>
        </w:rPr>
        <w:t xml:space="preserve">.g., </w:t>
      </w:r>
      <w:r w:rsidRPr="00D04FD4">
        <w:rPr>
          <w:rFonts w:ascii="Times New Roman" w:hAnsi="Times New Roman" w:cs="Times New Roman"/>
          <w:i/>
          <w:sz w:val="22"/>
          <w:szCs w:val="22"/>
        </w:rPr>
        <w:t>Jonson v. Commissioner</w:t>
      </w:r>
      <w:r w:rsidRPr="00DE1E4A">
        <w:rPr>
          <w:rFonts w:ascii="Times New Roman" w:hAnsi="Times New Roman" w:cs="Times New Roman"/>
          <w:sz w:val="22"/>
          <w:szCs w:val="22"/>
        </w:rPr>
        <w:t>, 118 T.C. 106, 108 n.4 (2002), aff’d, 353 F.3d 1181 (10th Cir. 2003).</w:t>
      </w:r>
    </w:p>
    <w:p w14:paraId="07259777" w14:textId="77777777" w:rsidR="00FC046A" w:rsidRPr="00DE1E4A" w:rsidRDefault="00FC046A">
      <w:pPr>
        <w:pStyle w:val="EndnoteText"/>
        <w:rPr>
          <w:rFonts w:ascii="Times New Roman" w:hAnsi="Times New Roman" w:cs="Times New Roman"/>
          <w:sz w:val="22"/>
          <w:szCs w:val="22"/>
        </w:rPr>
      </w:pPr>
    </w:p>
  </w:endnote>
  <w:endnote w:id="179">
    <w:p w14:paraId="402AC852" w14:textId="1C5CB5DB" w:rsidR="00FC046A" w:rsidRPr="0010523E" w:rsidRDefault="00FC046A">
      <w:pPr>
        <w:pStyle w:val="EndnoteText"/>
        <w:rPr>
          <w:rFonts w:ascii="Times New Roman" w:hAnsi="Times New Roman" w:cs="Times New Roman"/>
          <w:sz w:val="22"/>
          <w:szCs w:val="22"/>
        </w:rPr>
      </w:pPr>
      <w:r w:rsidRPr="0010523E">
        <w:rPr>
          <w:rStyle w:val="EndnoteReference"/>
          <w:rFonts w:ascii="Times New Roman" w:hAnsi="Times New Roman" w:cs="Times New Roman"/>
          <w:sz w:val="22"/>
          <w:szCs w:val="22"/>
        </w:rPr>
        <w:endnoteRef/>
      </w:r>
      <w:r w:rsidRPr="0010523E">
        <w:rPr>
          <w:rFonts w:ascii="Times New Roman" w:hAnsi="Times New Roman" w:cs="Times New Roman"/>
          <w:sz w:val="22"/>
          <w:szCs w:val="22"/>
        </w:rPr>
        <w:t xml:space="preserve"> </w:t>
      </w:r>
      <w:r>
        <w:rPr>
          <w:rFonts w:ascii="Times New Roman" w:hAnsi="Times New Roman" w:cs="Times New Roman"/>
          <w:sz w:val="22"/>
          <w:szCs w:val="22"/>
        </w:rPr>
        <w:t xml:space="preserve">A subsequent commentary will evaluate each of the 6 factors of the “bona fide insurance company” test that were discussed by the Court in the </w:t>
      </w:r>
      <w:r w:rsidRPr="00EA384A">
        <w:rPr>
          <w:rFonts w:ascii="Times New Roman" w:hAnsi="Times New Roman" w:cs="Times New Roman"/>
          <w:i/>
          <w:sz w:val="22"/>
          <w:szCs w:val="22"/>
        </w:rPr>
        <w:t>Reserve</w:t>
      </w:r>
      <w:r>
        <w:rPr>
          <w:rFonts w:ascii="Times New Roman" w:hAnsi="Times New Roman" w:cs="Times New Roman"/>
          <w:sz w:val="22"/>
          <w:szCs w:val="22"/>
        </w:rPr>
        <w:t xml:space="preserve"> Opinion and compare the Court’s findings with the evidence that was actually presented at trial.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479445"/>
      <w:docPartObj>
        <w:docPartGallery w:val="Page Numbers (Bottom of Page)"/>
        <w:docPartUnique/>
      </w:docPartObj>
    </w:sdtPr>
    <w:sdtEndPr>
      <w:rPr>
        <w:noProof/>
      </w:rPr>
    </w:sdtEndPr>
    <w:sdtContent>
      <w:p w14:paraId="1A15733E" w14:textId="77777777" w:rsidR="00FC046A" w:rsidRDefault="00FC04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F2C8F8" w14:textId="77777777" w:rsidR="00FC046A" w:rsidRDefault="00FC0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7EE12" w14:textId="77777777" w:rsidR="00FC046A" w:rsidRDefault="00FC046A" w:rsidP="00364083">
      <w:pPr>
        <w:spacing w:after="0" w:line="240" w:lineRule="auto"/>
      </w:pPr>
      <w:r>
        <w:separator/>
      </w:r>
    </w:p>
  </w:footnote>
  <w:footnote w:type="continuationSeparator" w:id="0">
    <w:p w14:paraId="4DE1023B" w14:textId="77777777" w:rsidR="00FC046A" w:rsidRDefault="00FC046A" w:rsidP="00364083">
      <w:pPr>
        <w:spacing w:after="0" w:line="240" w:lineRule="auto"/>
      </w:pPr>
      <w:r>
        <w:continuationSeparator/>
      </w:r>
    </w:p>
  </w:footnote>
  <w:footnote w:type="continuationNotice" w:id="1">
    <w:p w14:paraId="6CB0CA9B" w14:textId="77777777" w:rsidR="00FC046A" w:rsidRDefault="00FC04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344B3"/>
    <w:multiLevelType w:val="hybridMultilevel"/>
    <w:tmpl w:val="2FBA6066"/>
    <w:lvl w:ilvl="0" w:tplc="221015D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56663"/>
    <w:multiLevelType w:val="hybridMultilevel"/>
    <w:tmpl w:val="76A2B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47A2C"/>
    <w:multiLevelType w:val="hybridMultilevel"/>
    <w:tmpl w:val="CA98B3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91FCB"/>
    <w:multiLevelType w:val="hybridMultilevel"/>
    <w:tmpl w:val="999EE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D9575C"/>
    <w:multiLevelType w:val="hybridMultilevel"/>
    <w:tmpl w:val="5F92D40E"/>
    <w:lvl w:ilvl="0" w:tplc="60923FF0">
      <w:start w:val="7"/>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3D6462C"/>
    <w:multiLevelType w:val="hybridMultilevel"/>
    <w:tmpl w:val="929CE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5C05DE"/>
    <w:multiLevelType w:val="hybridMultilevel"/>
    <w:tmpl w:val="929CE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D04ABB"/>
    <w:multiLevelType w:val="hybridMultilevel"/>
    <w:tmpl w:val="FCACE06E"/>
    <w:lvl w:ilvl="0" w:tplc="71CAED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6"/>
  </w:num>
  <w:num w:numId="4">
    <w:abstractNumId w:val="7"/>
  </w:num>
  <w:num w:numId="5">
    <w:abstractNumId w:val="0"/>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63"/>
    <w:rsid w:val="0000026A"/>
    <w:rsid w:val="0000029E"/>
    <w:rsid w:val="00000B9E"/>
    <w:rsid w:val="000019EF"/>
    <w:rsid w:val="0000217D"/>
    <w:rsid w:val="000022BA"/>
    <w:rsid w:val="000025A8"/>
    <w:rsid w:val="00002606"/>
    <w:rsid w:val="00002617"/>
    <w:rsid w:val="0000311A"/>
    <w:rsid w:val="000033FB"/>
    <w:rsid w:val="0000364A"/>
    <w:rsid w:val="0000367E"/>
    <w:rsid w:val="0000373B"/>
    <w:rsid w:val="00003B6D"/>
    <w:rsid w:val="00003E40"/>
    <w:rsid w:val="00004128"/>
    <w:rsid w:val="000042E9"/>
    <w:rsid w:val="00004311"/>
    <w:rsid w:val="00004ABC"/>
    <w:rsid w:val="0000583A"/>
    <w:rsid w:val="00005F7E"/>
    <w:rsid w:val="0000622F"/>
    <w:rsid w:val="0000659A"/>
    <w:rsid w:val="0000668E"/>
    <w:rsid w:val="00006B00"/>
    <w:rsid w:val="00006EB2"/>
    <w:rsid w:val="000070EC"/>
    <w:rsid w:val="00007111"/>
    <w:rsid w:val="0000718C"/>
    <w:rsid w:val="00007293"/>
    <w:rsid w:val="000074ED"/>
    <w:rsid w:val="0001015C"/>
    <w:rsid w:val="000107F8"/>
    <w:rsid w:val="00010884"/>
    <w:rsid w:val="00010AAC"/>
    <w:rsid w:val="00010D5C"/>
    <w:rsid w:val="00011A77"/>
    <w:rsid w:val="00011C9F"/>
    <w:rsid w:val="00011DF1"/>
    <w:rsid w:val="00012187"/>
    <w:rsid w:val="000125E6"/>
    <w:rsid w:val="00012A87"/>
    <w:rsid w:val="00012C4F"/>
    <w:rsid w:val="00013208"/>
    <w:rsid w:val="00013335"/>
    <w:rsid w:val="0001389A"/>
    <w:rsid w:val="000138F3"/>
    <w:rsid w:val="00013AF6"/>
    <w:rsid w:val="000142C5"/>
    <w:rsid w:val="00014A53"/>
    <w:rsid w:val="00015EB7"/>
    <w:rsid w:val="000163C1"/>
    <w:rsid w:val="000164B8"/>
    <w:rsid w:val="000167D9"/>
    <w:rsid w:val="00016BB6"/>
    <w:rsid w:val="000176A9"/>
    <w:rsid w:val="00017AF1"/>
    <w:rsid w:val="00017DB6"/>
    <w:rsid w:val="000201BF"/>
    <w:rsid w:val="00020339"/>
    <w:rsid w:val="000207C3"/>
    <w:rsid w:val="00020B3C"/>
    <w:rsid w:val="00020EA0"/>
    <w:rsid w:val="0002123C"/>
    <w:rsid w:val="000212F3"/>
    <w:rsid w:val="000213F2"/>
    <w:rsid w:val="000214C4"/>
    <w:rsid w:val="000217BB"/>
    <w:rsid w:val="00021835"/>
    <w:rsid w:val="00021BE6"/>
    <w:rsid w:val="00022165"/>
    <w:rsid w:val="00022B49"/>
    <w:rsid w:val="0002356B"/>
    <w:rsid w:val="00023816"/>
    <w:rsid w:val="00023BBE"/>
    <w:rsid w:val="00023F42"/>
    <w:rsid w:val="00024002"/>
    <w:rsid w:val="00024376"/>
    <w:rsid w:val="00024B04"/>
    <w:rsid w:val="00024C8E"/>
    <w:rsid w:val="00024D5F"/>
    <w:rsid w:val="00024DB2"/>
    <w:rsid w:val="00025751"/>
    <w:rsid w:val="000257B4"/>
    <w:rsid w:val="0002589C"/>
    <w:rsid w:val="00025A37"/>
    <w:rsid w:val="00025EA3"/>
    <w:rsid w:val="000264BD"/>
    <w:rsid w:val="00026723"/>
    <w:rsid w:val="000268EC"/>
    <w:rsid w:val="00026B06"/>
    <w:rsid w:val="00026B3F"/>
    <w:rsid w:val="00026EE4"/>
    <w:rsid w:val="000270CE"/>
    <w:rsid w:val="00027185"/>
    <w:rsid w:val="000271DA"/>
    <w:rsid w:val="0002729D"/>
    <w:rsid w:val="00027301"/>
    <w:rsid w:val="0002760E"/>
    <w:rsid w:val="00027E8D"/>
    <w:rsid w:val="00027EA0"/>
    <w:rsid w:val="0003009D"/>
    <w:rsid w:val="00030A0B"/>
    <w:rsid w:val="00031635"/>
    <w:rsid w:val="00031D17"/>
    <w:rsid w:val="00031DBA"/>
    <w:rsid w:val="000323D9"/>
    <w:rsid w:val="00032894"/>
    <w:rsid w:val="00032D26"/>
    <w:rsid w:val="00032F90"/>
    <w:rsid w:val="0003381B"/>
    <w:rsid w:val="0003396A"/>
    <w:rsid w:val="00034D52"/>
    <w:rsid w:val="000359FC"/>
    <w:rsid w:val="00035AAE"/>
    <w:rsid w:val="00035C14"/>
    <w:rsid w:val="00035DB3"/>
    <w:rsid w:val="00035DE5"/>
    <w:rsid w:val="000363A5"/>
    <w:rsid w:val="000378AC"/>
    <w:rsid w:val="00037DE5"/>
    <w:rsid w:val="00041306"/>
    <w:rsid w:val="000413DF"/>
    <w:rsid w:val="0004189C"/>
    <w:rsid w:val="000418C5"/>
    <w:rsid w:val="00041FD9"/>
    <w:rsid w:val="00042431"/>
    <w:rsid w:val="000426B8"/>
    <w:rsid w:val="0004271F"/>
    <w:rsid w:val="0004305F"/>
    <w:rsid w:val="000432D6"/>
    <w:rsid w:val="0004340A"/>
    <w:rsid w:val="00043C90"/>
    <w:rsid w:val="00043E90"/>
    <w:rsid w:val="0004461E"/>
    <w:rsid w:val="00044753"/>
    <w:rsid w:val="00044F0B"/>
    <w:rsid w:val="00045057"/>
    <w:rsid w:val="000454F4"/>
    <w:rsid w:val="00045B33"/>
    <w:rsid w:val="0004633B"/>
    <w:rsid w:val="00046431"/>
    <w:rsid w:val="000465AD"/>
    <w:rsid w:val="0004661F"/>
    <w:rsid w:val="000466F8"/>
    <w:rsid w:val="000473D1"/>
    <w:rsid w:val="000475AE"/>
    <w:rsid w:val="00047C06"/>
    <w:rsid w:val="00047FDF"/>
    <w:rsid w:val="000503CF"/>
    <w:rsid w:val="00050C53"/>
    <w:rsid w:val="00050C9B"/>
    <w:rsid w:val="00050C9E"/>
    <w:rsid w:val="00050F75"/>
    <w:rsid w:val="00051601"/>
    <w:rsid w:val="000517F0"/>
    <w:rsid w:val="00051BB7"/>
    <w:rsid w:val="00051D8F"/>
    <w:rsid w:val="00051FA9"/>
    <w:rsid w:val="0005205A"/>
    <w:rsid w:val="0005206E"/>
    <w:rsid w:val="00052345"/>
    <w:rsid w:val="000525E2"/>
    <w:rsid w:val="0005298C"/>
    <w:rsid w:val="00052A3F"/>
    <w:rsid w:val="00052B99"/>
    <w:rsid w:val="0005306D"/>
    <w:rsid w:val="00053325"/>
    <w:rsid w:val="000538A7"/>
    <w:rsid w:val="00053B17"/>
    <w:rsid w:val="00053F45"/>
    <w:rsid w:val="00053F7C"/>
    <w:rsid w:val="00054A25"/>
    <w:rsid w:val="00054C06"/>
    <w:rsid w:val="00054CAB"/>
    <w:rsid w:val="000553F0"/>
    <w:rsid w:val="000557F8"/>
    <w:rsid w:val="00055BBF"/>
    <w:rsid w:val="000561ED"/>
    <w:rsid w:val="0005654E"/>
    <w:rsid w:val="00056662"/>
    <w:rsid w:val="00056B68"/>
    <w:rsid w:val="00056FE0"/>
    <w:rsid w:val="0005701C"/>
    <w:rsid w:val="0005786F"/>
    <w:rsid w:val="00057C25"/>
    <w:rsid w:val="00057CEB"/>
    <w:rsid w:val="00057D52"/>
    <w:rsid w:val="00060043"/>
    <w:rsid w:val="00060804"/>
    <w:rsid w:val="000609EA"/>
    <w:rsid w:val="00060A14"/>
    <w:rsid w:val="000618B4"/>
    <w:rsid w:val="00061ABC"/>
    <w:rsid w:val="00061BC3"/>
    <w:rsid w:val="00061C0E"/>
    <w:rsid w:val="00061CF2"/>
    <w:rsid w:val="000621E6"/>
    <w:rsid w:val="00062B4C"/>
    <w:rsid w:val="00062BFD"/>
    <w:rsid w:val="00062CEB"/>
    <w:rsid w:val="00062F76"/>
    <w:rsid w:val="00062F93"/>
    <w:rsid w:val="000632B8"/>
    <w:rsid w:val="00063B02"/>
    <w:rsid w:val="000642A5"/>
    <w:rsid w:val="0006436A"/>
    <w:rsid w:val="00065697"/>
    <w:rsid w:val="000658A9"/>
    <w:rsid w:val="00065C88"/>
    <w:rsid w:val="00065CE8"/>
    <w:rsid w:val="00065D12"/>
    <w:rsid w:val="0006605A"/>
    <w:rsid w:val="00066143"/>
    <w:rsid w:val="00066168"/>
    <w:rsid w:val="00066323"/>
    <w:rsid w:val="000663CB"/>
    <w:rsid w:val="00067762"/>
    <w:rsid w:val="00067782"/>
    <w:rsid w:val="0007063A"/>
    <w:rsid w:val="0007090E"/>
    <w:rsid w:val="00070B70"/>
    <w:rsid w:val="00070BDD"/>
    <w:rsid w:val="00070C7F"/>
    <w:rsid w:val="000713E5"/>
    <w:rsid w:val="0007140C"/>
    <w:rsid w:val="0007146F"/>
    <w:rsid w:val="000716E9"/>
    <w:rsid w:val="00071C97"/>
    <w:rsid w:val="00071F2A"/>
    <w:rsid w:val="00072185"/>
    <w:rsid w:val="000722A2"/>
    <w:rsid w:val="00072302"/>
    <w:rsid w:val="00072689"/>
    <w:rsid w:val="00072C9B"/>
    <w:rsid w:val="0007350B"/>
    <w:rsid w:val="00073570"/>
    <w:rsid w:val="000738BD"/>
    <w:rsid w:val="00073E9D"/>
    <w:rsid w:val="00074229"/>
    <w:rsid w:val="00074B93"/>
    <w:rsid w:val="00074EB9"/>
    <w:rsid w:val="00074EE8"/>
    <w:rsid w:val="00075509"/>
    <w:rsid w:val="0007563B"/>
    <w:rsid w:val="00075953"/>
    <w:rsid w:val="00075BDA"/>
    <w:rsid w:val="00075DCE"/>
    <w:rsid w:val="00076205"/>
    <w:rsid w:val="000768E4"/>
    <w:rsid w:val="000773C9"/>
    <w:rsid w:val="000775D2"/>
    <w:rsid w:val="000776A2"/>
    <w:rsid w:val="00080097"/>
    <w:rsid w:val="000803F7"/>
    <w:rsid w:val="00080607"/>
    <w:rsid w:val="00080793"/>
    <w:rsid w:val="00080946"/>
    <w:rsid w:val="00080BF8"/>
    <w:rsid w:val="00080D14"/>
    <w:rsid w:val="00080D6D"/>
    <w:rsid w:val="00081085"/>
    <w:rsid w:val="00081227"/>
    <w:rsid w:val="000812BE"/>
    <w:rsid w:val="0008149F"/>
    <w:rsid w:val="000817C7"/>
    <w:rsid w:val="00081949"/>
    <w:rsid w:val="000829CB"/>
    <w:rsid w:val="00082A05"/>
    <w:rsid w:val="00082AE9"/>
    <w:rsid w:val="00083094"/>
    <w:rsid w:val="00083162"/>
    <w:rsid w:val="0008326B"/>
    <w:rsid w:val="00083300"/>
    <w:rsid w:val="000835CE"/>
    <w:rsid w:val="0008374B"/>
    <w:rsid w:val="00083A03"/>
    <w:rsid w:val="00084CDD"/>
    <w:rsid w:val="00085270"/>
    <w:rsid w:val="000852B3"/>
    <w:rsid w:val="00085509"/>
    <w:rsid w:val="00085572"/>
    <w:rsid w:val="0008562F"/>
    <w:rsid w:val="0008599A"/>
    <w:rsid w:val="00085AB7"/>
    <w:rsid w:val="00085B6B"/>
    <w:rsid w:val="00085BE9"/>
    <w:rsid w:val="00086CBA"/>
    <w:rsid w:val="00087272"/>
    <w:rsid w:val="000872A4"/>
    <w:rsid w:val="000875D4"/>
    <w:rsid w:val="0008795D"/>
    <w:rsid w:val="000879BE"/>
    <w:rsid w:val="00087E69"/>
    <w:rsid w:val="00087FF3"/>
    <w:rsid w:val="000903EF"/>
    <w:rsid w:val="00090454"/>
    <w:rsid w:val="000910F3"/>
    <w:rsid w:val="00091236"/>
    <w:rsid w:val="000914D8"/>
    <w:rsid w:val="00091DC3"/>
    <w:rsid w:val="0009211C"/>
    <w:rsid w:val="000921D4"/>
    <w:rsid w:val="00092677"/>
    <w:rsid w:val="000928AF"/>
    <w:rsid w:val="000929A8"/>
    <w:rsid w:val="00092D05"/>
    <w:rsid w:val="00092E2D"/>
    <w:rsid w:val="000938B8"/>
    <w:rsid w:val="00093A56"/>
    <w:rsid w:val="000940FD"/>
    <w:rsid w:val="00094EE4"/>
    <w:rsid w:val="00094F8A"/>
    <w:rsid w:val="00095962"/>
    <w:rsid w:val="00095C67"/>
    <w:rsid w:val="00095D0F"/>
    <w:rsid w:val="0009630B"/>
    <w:rsid w:val="00096403"/>
    <w:rsid w:val="00096642"/>
    <w:rsid w:val="000966CE"/>
    <w:rsid w:val="00096788"/>
    <w:rsid w:val="0009772F"/>
    <w:rsid w:val="000A0020"/>
    <w:rsid w:val="000A00B4"/>
    <w:rsid w:val="000A0184"/>
    <w:rsid w:val="000A027E"/>
    <w:rsid w:val="000A11E9"/>
    <w:rsid w:val="000A1652"/>
    <w:rsid w:val="000A16DE"/>
    <w:rsid w:val="000A1B4F"/>
    <w:rsid w:val="000A1B53"/>
    <w:rsid w:val="000A21DA"/>
    <w:rsid w:val="000A27C4"/>
    <w:rsid w:val="000A2E7E"/>
    <w:rsid w:val="000A3244"/>
    <w:rsid w:val="000A3689"/>
    <w:rsid w:val="000A39EB"/>
    <w:rsid w:val="000A3A95"/>
    <w:rsid w:val="000A3C68"/>
    <w:rsid w:val="000A40C2"/>
    <w:rsid w:val="000A42F2"/>
    <w:rsid w:val="000A47CD"/>
    <w:rsid w:val="000A4839"/>
    <w:rsid w:val="000A4CFF"/>
    <w:rsid w:val="000A4DC9"/>
    <w:rsid w:val="000A4F4D"/>
    <w:rsid w:val="000A596D"/>
    <w:rsid w:val="000A5A84"/>
    <w:rsid w:val="000A606C"/>
    <w:rsid w:val="000A6106"/>
    <w:rsid w:val="000A6327"/>
    <w:rsid w:val="000A6825"/>
    <w:rsid w:val="000A68F7"/>
    <w:rsid w:val="000A70E7"/>
    <w:rsid w:val="000A7135"/>
    <w:rsid w:val="000A7297"/>
    <w:rsid w:val="000A7449"/>
    <w:rsid w:val="000A745F"/>
    <w:rsid w:val="000A7544"/>
    <w:rsid w:val="000A7749"/>
    <w:rsid w:val="000A7A0E"/>
    <w:rsid w:val="000A7FB8"/>
    <w:rsid w:val="000B005A"/>
    <w:rsid w:val="000B0345"/>
    <w:rsid w:val="000B048A"/>
    <w:rsid w:val="000B084F"/>
    <w:rsid w:val="000B0AEE"/>
    <w:rsid w:val="000B13F2"/>
    <w:rsid w:val="000B1570"/>
    <w:rsid w:val="000B16C3"/>
    <w:rsid w:val="000B1D16"/>
    <w:rsid w:val="000B1F81"/>
    <w:rsid w:val="000B2604"/>
    <w:rsid w:val="000B2AFA"/>
    <w:rsid w:val="000B2BED"/>
    <w:rsid w:val="000B3474"/>
    <w:rsid w:val="000B406A"/>
    <w:rsid w:val="000B4FC1"/>
    <w:rsid w:val="000B52E6"/>
    <w:rsid w:val="000B56E4"/>
    <w:rsid w:val="000B5AC5"/>
    <w:rsid w:val="000B6466"/>
    <w:rsid w:val="000B657F"/>
    <w:rsid w:val="000B70D1"/>
    <w:rsid w:val="000B72DB"/>
    <w:rsid w:val="000B7535"/>
    <w:rsid w:val="000B78F9"/>
    <w:rsid w:val="000B7E05"/>
    <w:rsid w:val="000C0672"/>
    <w:rsid w:val="000C18F2"/>
    <w:rsid w:val="000C1A39"/>
    <w:rsid w:val="000C1BB5"/>
    <w:rsid w:val="000C20CF"/>
    <w:rsid w:val="000C27DC"/>
    <w:rsid w:val="000C293F"/>
    <w:rsid w:val="000C2941"/>
    <w:rsid w:val="000C337B"/>
    <w:rsid w:val="000C3D77"/>
    <w:rsid w:val="000C451C"/>
    <w:rsid w:val="000C465E"/>
    <w:rsid w:val="000C4DC6"/>
    <w:rsid w:val="000C4ED1"/>
    <w:rsid w:val="000C4F37"/>
    <w:rsid w:val="000C52CC"/>
    <w:rsid w:val="000C56C5"/>
    <w:rsid w:val="000C5A91"/>
    <w:rsid w:val="000C5AB1"/>
    <w:rsid w:val="000C67A9"/>
    <w:rsid w:val="000C6825"/>
    <w:rsid w:val="000C6D8F"/>
    <w:rsid w:val="000C7080"/>
    <w:rsid w:val="000C7BFE"/>
    <w:rsid w:val="000C7EFE"/>
    <w:rsid w:val="000D0292"/>
    <w:rsid w:val="000D02C3"/>
    <w:rsid w:val="000D0A42"/>
    <w:rsid w:val="000D1611"/>
    <w:rsid w:val="000D1A38"/>
    <w:rsid w:val="000D25F8"/>
    <w:rsid w:val="000D26DD"/>
    <w:rsid w:val="000D2A05"/>
    <w:rsid w:val="000D2CA3"/>
    <w:rsid w:val="000D34B6"/>
    <w:rsid w:val="000D38A9"/>
    <w:rsid w:val="000D409C"/>
    <w:rsid w:val="000D425A"/>
    <w:rsid w:val="000D438A"/>
    <w:rsid w:val="000D4667"/>
    <w:rsid w:val="000D4B69"/>
    <w:rsid w:val="000D4CFE"/>
    <w:rsid w:val="000D4F88"/>
    <w:rsid w:val="000D4F8A"/>
    <w:rsid w:val="000D5475"/>
    <w:rsid w:val="000D57AA"/>
    <w:rsid w:val="000D593C"/>
    <w:rsid w:val="000D5A93"/>
    <w:rsid w:val="000D5C34"/>
    <w:rsid w:val="000D5D5C"/>
    <w:rsid w:val="000D60B8"/>
    <w:rsid w:val="000D6163"/>
    <w:rsid w:val="000D6340"/>
    <w:rsid w:val="000D640C"/>
    <w:rsid w:val="000D6569"/>
    <w:rsid w:val="000D6595"/>
    <w:rsid w:val="000D6608"/>
    <w:rsid w:val="000D6B22"/>
    <w:rsid w:val="000D75E8"/>
    <w:rsid w:val="000D76DF"/>
    <w:rsid w:val="000D780D"/>
    <w:rsid w:val="000D7D5B"/>
    <w:rsid w:val="000E074F"/>
    <w:rsid w:val="000E10C5"/>
    <w:rsid w:val="000E1BB5"/>
    <w:rsid w:val="000E2017"/>
    <w:rsid w:val="000E240F"/>
    <w:rsid w:val="000E296D"/>
    <w:rsid w:val="000E2AA2"/>
    <w:rsid w:val="000E2B09"/>
    <w:rsid w:val="000E2B0A"/>
    <w:rsid w:val="000E2E6E"/>
    <w:rsid w:val="000E3A20"/>
    <w:rsid w:val="000E3B63"/>
    <w:rsid w:val="000E3C22"/>
    <w:rsid w:val="000E3D82"/>
    <w:rsid w:val="000E419A"/>
    <w:rsid w:val="000E4556"/>
    <w:rsid w:val="000E4D96"/>
    <w:rsid w:val="000E4EC8"/>
    <w:rsid w:val="000E55BC"/>
    <w:rsid w:val="000E5B8D"/>
    <w:rsid w:val="000E6604"/>
    <w:rsid w:val="000E66F0"/>
    <w:rsid w:val="000E6A96"/>
    <w:rsid w:val="000E7C37"/>
    <w:rsid w:val="000E7ED9"/>
    <w:rsid w:val="000E7F3F"/>
    <w:rsid w:val="000F05BC"/>
    <w:rsid w:val="000F0B7F"/>
    <w:rsid w:val="000F0F79"/>
    <w:rsid w:val="000F0FF3"/>
    <w:rsid w:val="000F12B9"/>
    <w:rsid w:val="000F1607"/>
    <w:rsid w:val="000F16FC"/>
    <w:rsid w:val="000F1939"/>
    <w:rsid w:val="000F1993"/>
    <w:rsid w:val="000F1ACF"/>
    <w:rsid w:val="000F1BDA"/>
    <w:rsid w:val="000F216B"/>
    <w:rsid w:val="000F22EB"/>
    <w:rsid w:val="000F23F7"/>
    <w:rsid w:val="000F2512"/>
    <w:rsid w:val="000F28BC"/>
    <w:rsid w:val="000F2960"/>
    <w:rsid w:val="000F2DA5"/>
    <w:rsid w:val="000F2FE2"/>
    <w:rsid w:val="000F3029"/>
    <w:rsid w:val="000F3609"/>
    <w:rsid w:val="000F3898"/>
    <w:rsid w:val="000F3EDC"/>
    <w:rsid w:val="000F4428"/>
    <w:rsid w:val="000F4C40"/>
    <w:rsid w:val="000F4C7D"/>
    <w:rsid w:val="000F4CEE"/>
    <w:rsid w:val="000F4E23"/>
    <w:rsid w:val="000F5422"/>
    <w:rsid w:val="000F5581"/>
    <w:rsid w:val="000F56D0"/>
    <w:rsid w:val="000F64A1"/>
    <w:rsid w:val="000F6BEF"/>
    <w:rsid w:val="000F6D1A"/>
    <w:rsid w:val="000F792A"/>
    <w:rsid w:val="000F7BE3"/>
    <w:rsid w:val="001001CF"/>
    <w:rsid w:val="00100275"/>
    <w:rsid w:val="001003D8"/>
    <w:rsid w:val="0010057F"/>
    <w:rsid w:val="00100919"/>
    <w:rsid w:val="00100921"/>
    <w:rsid w:val="00100AD5"/>
    <w:rsid w:val="00100CFB"/>
    <w:rsid w:val="001010FE"/>
    <w:rsid w:val="00101432"/>
    <w:rsid w:val="0010160B"/>
    <w:rsid w:val="0010171F"/>
    <w:rsid w:val="00101944"/>
    <w:rsid w:val="00101D83"/>
    <w:rsid w:val="00101F30"/>
    <w:rsid w:val="00101FDA"/>
    <w:rsid w:val="0010236F"/>
    <w:rsid w:val="00103168"/>
    <w:rsid w:val="00103C85"/>
    <w:rsid w:val="00103E13"/>
    <w:rsid w:val="00103F3D"/>
    <w:rsid w:val="00104310"/>
    <w:rsid w:val="00104695"/>
    <w:rsid w:val="00104935"/>
    <w:rsid w:val="00104938"/>
    <w:rsid w:val="00104ABA"/>
    <w:rsid w:val="00105072"/>
    <w:rsid w:val="0010523E"/>
    <w:rsid w:val="00105502"/>
    <w:rsid w:val="001056E0"/>
    <w:rsid w:val="00105EF0"/>
    <w:rsid w:val="0010658B"/>
    <w:rsid w:val="00106ABA"/>
    <w:rsid w:val="00106B9A"/>
    <w:rsid w:val="001077EA"/>
    <w:rsid w:val="00107A00"/>
    <w:rsid w:val="00107D05"/>
    <w:rsid w:val="00107E20"/>
    <w:rsid w:val="001100B8"/>
    <w:rsid w:val="001100FE"/>
    <w:rsid w:val="0011084A"/>
    <w:rsid w:val="001108B2"/>
    <w:rsid w:val="00110A36"/>
    <w:rsid w:val="00110AE3"/>
    <w:rsid w:val="0011121E"/>
    <w:rsid w:val="00111620"/>
    <w:rsid w:val="00111F68"/>
    <w:rsid w:val="001131B5"/>
    <w:rsid w:val="0011359D"/>
    <w:rsid w:val="00113AB3"/>
    <w:rsid w:val="001141ED"/>
    <w:rsid w:val="0011457D"/>
    <w:rsid w:val="00114939"/>
    <w:rsid w:val="001149BF"/>
    <w:rsid w:val="00114B14"/>
    <w:rsid w:val="00114FCE"/>
    <w:rsid w:val="0011503A"/>
    <w:rsid w:val="0011546E"/>
    <w:rsid w:val="0011567D"/>
    <w:rsid w:val="00115D6F"/>
    <w:rsid w:val="00115F03"/>
    <w:rsid w:val="001164D2"/>
    <w:rsid w:val="001166CF"/>
    <w:rsid w:val="00116A43"/>
    <w:rsid w:val="00117107"/>
    <w:rsid w:val="0011749C"/>
    <w:rsid w:val="0011755A"/>
    <w:rsid w:val="00117BC7"/>
    <w:rsid w:val="00120C59"/>
    <w:rsid w:val="00120CE5"/>
    <w:rsid w:val="00121223"/>
    <w:rsid w:val="001212E9"/>
    <w:rsid w:val="00122016"/>
    <w:rsid w:val="00122097"/>
    <w:rsid w:val="001221F0"/>
    <w:rsid w:val="001221F6"/>
    <w:rsid w:val="001221F7"/>
    <w:rsid w:val="0012230A"/>
    <w:rsid w:val="00122525"/>
    <w:rsid w:val="00122974"/>
    <w:rsid w:val="001230AF"/>
    <w:rsid w:val="00123378"/>
    <w:rsid w:val="00123A53"/>
    <w:rsid w:val="00124300"/>
    <w:rsid w:val="0012467C"/>
    <w:rsid w:val="001247D2"/>
    <w:rsid w:val="001250E1"/>
    <w:rsid w:val="0012527B"/>
    <w:rsid w:val="00125A62"/>
    <w:rsid w:val="00125F9E"/>
    <w:rsid w:val="00126279"/>
    <w:rsid w:val="00126E78"/>
    <w:rsid w:val="00126F9B"/>
    <w:rsid w:val="00126FEE"/>
    <w:rsid w:val="0012756A"/>
    <w:rsid w:val="00127A47"/>
    <w:rsid w:val="00127D0F"/>
    <w:rsid w:val="001301BF"/>
    <w:rsid w:val="00130517"/>
    <w:rsid w:val="00130DBB"/>
    <w:rsid w:val="001312EE"/>
    <w:rsid w:val="0013145C"/>
    <w:rsid w:val="00131498"/>
    <w:rsid w:val="001315CF"/>
    <w:rsid w:val="00131728"/>
    <w:rsid w:val="00132866"/>
    <w:rsid w:val="0013351A"/>
    <w:rsid w:val="00133986"/>
    <w:rsid w:val="001348E5"/>
    <w:rsid w:val="00134C95"/>
    <w:rsid w:val="001351AA"/>
    <w:rsid w:val="00135615"/>
    <w:rsid w:val="0013582E"/>
    <w:rsid w:val="001360FE"/>
    <w:rsid w:val="0013627F"/>
    <w:rsid w:val="001364EB"/>
    <w:rsid w:val="001366BD"/>
    <w:rsid w:val="00136E83"/>
    <w:rsid w:val="001374FD"/>
    <w:rsid w:val="00137729"/>
    <w:rsid w:val="00137A9C"/>
    <w:rsid w:val="00137AB5"/>
    <w:rsid w:val="00140918"/>
    <w:rsid w:val="001409B7"/>
    <w:rsid w:val="00141461"/>
    <w:rsid w:val="001418CC"/>
    <w:rsid w:val="0014196B"/>
    <w:rsid w:val="001419E6"/>
    <w:rsid w:val="00141B13"/>
    <w:rsid w:val="001420D8"/>
    <w:rsid w:val="0014236F"/>
    <w:rsid w:val="00142597"/>
    <w:rsid w:val="00142E8C"/>
    <w:rsid w:val="00143226"/>
    <w:rsid w:val="00144661"/>
    <w:rsid w:val="0014484B"/>
    <w:rsid w:val="00144A2C"/>
    <w:rsid w:val="00144A7D"/>
    <w:rsid w:val="00144C5A"/>
    <w:rsid w:val="0014513D"/>
    <w:rsid w:val="00145B98"/>
    <w:rsid w:val="00145C71"/>
    <w:rsid w:val="00145E4A"/>
    <w:rsid w:val="00145E4C"/>
    <w:rsid w:val="00146DE5"/>
    <w:rsid w:val="00147C35"/>
    <w:rsid w:val="001503FE"/>
    <w:rsid w:val="0015069F"/>
    <w:rsid w:val="00150993"/>
    <w:rsid w:val="0015120D"/>
    <w:rsid w:val="00151308"/>
    <w:rsid w:val="00151390"/>
    <w:rsid w:val="00151B91"/>
    <w:rsid w:val="00151C8A"/>
    <w:rsid w:val="00151CDF"/>
    <w:rsid w:val="00151F9C"/>
    <w:rsid w:val="001522FC"/>
    <w:rsid w:val="001528D3"/>
    <w:rsid w:val="00153EE4"/>
    <w:rsid w:val="0015470D"/>
    <w:rsid w:val="00154734"/>
    <w:rsid w:val="00154B1A"/>
    <w:rsid w:val="00154E2E"/>
    <w:rsid w:val="00155013"/>
    <w:rsid w:val="001550A5"/>
    <w:rsid w:val="001553F8"/>
    <w:rsid w:val="00155A87"/>
    <w:rsid w:val="00155ABB"/>
    <w:rsid w:val="00155B13"/>
    <w:rsid w:val="00155C0A"/>
    <w:rsid w:val="00156354"/>
    <w:rsid w:val="00156E79"/>
    <w:rsid w:val="00157050"/>
    <w:rsid w:val="001571B3"/>
    <w:rsid w:val="00157554"/>
    <w:rsid w:val="00157790"/>
    <w:rsid w:val="00157919"/>
    <w:rsid w:val="0016003B"/>
    <w:rsid w:val="0016085D"/>
    <w:rsid w:val="00161080"/>
    <w:rsid w:val="001610FC"/>
    <w:rsid w:val="0016144A"/>
    <w:rsid w:val="001614A0"/>
    <w:rsid w:val="00161CAB"/>
    <w:rsid w:val="0016251B"/>
    <w:rsid w:val="0016275A"/>
    <w:rsid w:val="00162B6A"/>
    <w:rsid w:val="00162D24"/>
    <w:rsid w:val="001638C9"/>
    <w:rsid w:val="00163BB2"/>
    <w:rsid w:val="00163EEF"/>
    <w:rsid w:val="00164D14"/>
    <w:rsid w:val="00164D25"/>
    <w:rsid w:val="00164DD3"/>
    <w:rsid w:val="00165388"/>
    <w:rsid w:val="00165459"/>
    <w:rsid w:val="00165526"/>
    <w:rsid w:val="00165A48"/>
    <w:rsid w:val="00165D67"/>
    <w:rsid w:val="00165F41"/>
    <w:rsid w:val="00166013"/>
    <w:rsid w:val="001661A6"/>
    <w:rsid w:val="001661BA"/>
    <w:rsid w:val="001665F0"/>
    <w:rsid w:val="00166B50"/>
    <w:rsid w:val="00166EC5"/>
    <w:rsid w:val="0016743C"/>
    <w:rsid w:val="00167AFC"/>
    <w:rsid w:val="00167B45"/>
    <w:rsid w:val="00167B52"/>
    <w:rsid w:val="00167C06"/>
    <w:rsid w:val="00167C61"/>
    <w:rsid w:val="00167F08"/>
    <w:rsid w:val="00170032"/>
    <w:rsid w:val="00170319"/>
    <w:rsid w:val="00170636"/>
    <w:rsid w:val="0017098E"/>
    <w:rsid w:val="00170C5E"/>
    <w:rsid w:val="00170F27"/>
    <w:rsid w:val="00170FE2"/>
    <w:rsid w:val="00171152"/>
    <w:rsid w:val="001712B2"/>
    <w:rsid w:val="001714E4"/>
    <w:rsid w:val="00171649"/>
    <w:rsid w:val="0017190E"/>
    <w:rsid w:val="001722E2"/>
    <w:rsid w:val="00172AF0"/>
    <w:rsid w:val="00173077"/>
    <w:rsid w:val="001731D8"/>
    <w:rsid w:val="001733AC"/>
    <w:rsid w:val="00173498"/>
    <w:rsid w:val="00173A24"/>
    <w:rsid w:val="00173BDA"/>
    <w:rsid w:val="00174346"/>
    <w:rsid w:val="0017449E"/>
    <w:rsid w:val="00174A91"/>
    <w:rsid w:val="0017520F"/>
    <w:rsid w:val="00175212"/>
    <w:rsid w:val="001755B7"/>
    <w:rsid w:val="0017579D"/>
    <w:rsid w:val="00175825"/>
    <w:rsid w:val="00175A23"/>
    <w:rsid w:val="00175C0B"/>
    <w:rsid w:val="00176A25"/>
    <w:rsid w:val="00176B44"/>
    <w:rsid w:val="00176BBE"/>
    <w:rsid w:val="00176C46"/>
    <w:rsid w:val="001770FA"/>
    <w:rsid w:val="00177A97"/>
    <w:rsid w:val="00177CC9"/>
    <w:rsid w:val="00177D6F"/>
    <w:rsid w:val="00177E67"/>
    <w:rsid w:val="00177E86"/>
    <w:rsid w:val="00180036"/>
    <w:rsid w:val="001801BF"/>
    <w:rsid w:val="001802F4"/>
    <w:rsid w:val="00180A0D"/>
    <w:rsid w:val="00180BCE"/>
    <w:rsid w:val="001810BF"/>
    <w:rsid w:val="0018134B"/>
    <w:rsid w:val="0018149B"/>
    <w:rsid w:val="00181BC1"/>
    <w:rsid w:val="001831F2"/>
    <w:rsid w:val="0018370A"/>
    <w:rsid w:val="0018372F"/>
    <w:rsid w:val="001837F5"/>
    <w:rsid w:val="00183BE1"/>
    <w:rsid w:val="00183D3A"/>
    <w:rsid w:val="0018475D"/>
    <w:rsid w:val="00184910"/>
    <w:rsid w:val="00184B71"/>
    <w:rsid w:val="00184F3F"/>
    <w:rsid w:val="001863EC"/>
    <w:rsid w:val="0018653C"/>
    <w:rsid w:val="0018667E"/>
    <w:rsid w:val="00186BC8"/>
    <w:rsid w:val="00186D2E"/>
    <w:rsid w:val="00187207"/>
    <w:rsid w:val="00187D1A"/>
    <w:rsid w:val="001904BD"/>
    <w:rsid w:val="0019081C"/>
    <w:rsid w:val="00190844"/>
    <w:rsid w:val="001909DC"/>
    <w:rsid w:val="00190D45"/>
    <w:rsid w:val="00190F92"/>
    <w:rsid w:val="00191090"/>
    <w:rsid w:val="001918CA"/>
    <w:rsid w:val="001919CC"/>
    <w:rsid w:val="00191E73"/>
    <w:rsid w:val="00192BEC"/>
    <w:rsid w:val="00193D51"/>
    <w:rsid w:val="00194267"/>
    <w:rsid w:val="00194269"/>
    <w:rsid w:val="0019436E"/>
    <w:rsid w:val="00194494"/>
    <w:rsid w:val="001947EB"/>
    <w:rsid w:val="001952B6"/>
    <w:rsid w:val="00195568"/>
    <w:rsid w:val="00195760"/>
    <w:rsid w:val="00195997"/>
    <w:rsid w:val="001959EE"/>
    <w:rsid w:val="00195FD3"/>
    <w:rsid w:val="00196326"/>
    <w:rsid w:val="00196CF3"/>
    <w:rsid w:val="00196D51"/>
    <w:rsid w:val="00196DDC"/>
    <w:rsid w:val="001972D1"/>
    <w:rsid w:val="0019793D"/>
    <w:rsid w:val="00197AB8"/>
    <w:rsid w:val="00197AD2"/>
    <w:rsid w:val="00197C22"/>
    <w:rsid w:val="00197CD3"/>
    <w:rsid w:val="001A02F0"/>
    <w:rsid w:val="001A06EC"/>
    <w:rsid w:val="001A07B5"/>
    <w:rsid w:val="001A10B0"/>
    <w:rsid w:val="001A12A8"/>
    <w:rsid w:val="001A16AF"/>
    <w:rsid w:val="001A1AB1"/>
    <w:rsid w:val="001A1B63"/>
    <w:rsid w:val="001A1E38"/>
    <w:rsid w:val="001A2877"/>
    <w:rsid w:val="001A298E"/>
    <w:rsid w:val="001A2A0C"/>
    <w:rsid w:val="001A2BAE"/>
    <w:rsid w:val="001A2D92"/>
    <w:rsid w:val="001A2DFF"/>
    <w:rsid w:val="001A307B"/>
    <w:rsid w:val="001A3C7B"/>
    <w:rsid w:val="001A3E97"/>
    <w:rsid w:val="001A4196"/>
    <w:rsid w:val="001A4274"/>
    <w:rsid w:val="001A428E"/>
    <w:rsid w:val="001A4415"/>
    <w:rsid w:val="001A44A1"/>
    <w:rsid w:val="001A47E1"/>
    <w:rsid w:val="001A493A"/>
    <w:rsid w:val="001A4AE0"/>
    <w:rsid w:val="001A4DD0"/>
    <w:rsid w:val="001A538B"/>
    <w:rsid w:val="001A5877"/>
    <w:rsid w:val="001A5F3D"/>
    <w:rsid w:val="001A650A"/>
    <w:rsid w:val="001A6652"/>
    <w:rsid w:val="001A6D7C"/>
    <w:rsid w:val="001A6E5F"/>
    <w:rsid w:val="001A7428"/>
    <w:rsid w:val="001B0565"/>
    <w:rsid w:val="001B0819"/>
    <w:rsid w:val="001B08B4"/>
    <w:rsid w:val="001B114F"/>
    <w:rsid w:val="001B1167"/>
    <w:rsid w:val="001B1325"/>
    <w:rsid w:val="001B13B1"/>
    <w:rsid w:val="001B1543"/>
    <w:rsid w:val="001B1608"/>
    <w:rsid w:val="001B1F05"/>
    <w:rsid w:val="001B21AA"/>
    <w:rsid w:val="001B2403"/>
    <w:rsid w:val="001B2524"/>
    <w:rsid w:val="001B257F"/>
    <w:rsid w:val="001B2653"/>
    <w:rsid w:val="001B26E2"/>
    <w:rsid w:val="001B2B9A"/>
    <w:rsid w:val="001B2C0B"/>
    <w:rsid w:val="001B2CF6"/>
    <w:rsid w:val="001B2FE8"/>
    <w:rsid w:val="001B3E76"/>
    <w:rsid w:val="001B4054"/>
    <w:rsid w:val="001B41AF"/>
    <w:rsid w:val="001B4388"/>
    <w:rsid w:val="001B4726"/>
    <w:rsid w:val="001B4CE2"/>
    <w:rsid w:val="001B5003"/>
    <w:rsid w:val="001B505D"/>
    <w:rsid w:val="001B546C"/>
    <w:rsid w:val="001B57DB"/>
    <w:rsid w:val="001B5924"/>
    <w:rsid w:val="001B600F"/>
    <w:rsid w:val="001B6823"/>
    <w:rsid w:val="001B69D7"/>
    <w:rsid w:val="001B6A58"/>
    <w:rsid w:val="001B6AD4"/>
    <w:rsid w:val="001B6B17"/>
    <w:rsid w:val="001B6F12"/>
    <w:rsid w:val="001B7030"/>
    <w:rsid w:val="001B719C"/>
    <w:rsid w:val="001B7692"/>
    <w:rsid w:val="001B7B0A"/>
    <w:rsid w:val="001B7F57"/>
    <w:rsid w:val="001C01B0"/>
    <w:rsid w:val="001C04C6"/>
    <w:rsid w:val="001C0798"/>
    <w:rsid w:val="001C0958"/>
    <w:rsid w:val="001C0D89"/>
    <w:rsid w:val="001C0E5F"/>
    <w:rsid w:val="001C10AC"/>
    <w:rsid w:val="001C1134"/>
    <w:rsid w:val="001C15D5"/>
    <w:rsid w:val="001C1683"/>
    <w:rsid w:val="001C1891"/>
    <w:rsid w:val="001C1ECF"/>
    <w:rsid w:val="001C23B9"/>
    <w:rsid w:val="001C2590"/>
    <w:rsid w:val="001C3C96"/>
    <w:rsid w:val="001C3D02"/>
    <w:rsid w:val="001C4F27"/>
    <w:rsid w:val="001C5092"/>
    <w:rsid w:val="001C51B5"/>
    <w:rsid w:val="001C56A9"/>
    <w:rsid w:val="001C5AFD"/>
    <w:rsid w:val="001C5C31"/>
    <w:rsid w:val="001C6A19"/>
    <w:rsid w:val="001D02D5"/>
    <w:rsid w:val="001D064E"/>
    <w:rsid w:val="001D06AE"/>
    <w:rsid w:val="001D09B6"/>
    <w:rsid w:val="001D1037"/>
    <w:rsid w:val="001D1073"/>
    <w:rsid w:val="001D113B"/>
    <w:rsid w:val="001D1168"/>
    <w:rsid w:val="001D17E7"/>
    <w:rsid w:val="001D22A6"/>
    <w:rsid w:val="001D294C"/>
    <w:rsid w:val="001D2FC4"/>
    <w:rsid w:val="001D302F"/>
    <w:rsid w:val="001D321A"/>
    <w:rsid w:val="001D32EE"/>
    <w:rsid w:val="001D3549"/>
    <w:rsid w:val="001D37BF"/>
    <w:rsid w:val="001D3AFC"/>
    <w:rsid w:val="001D3E90"/>
    <w:rsid w:val="001D41BA"/>
    <w:rsid w:val="001D41E7"/>
    <w:rsid w:val="001D4529"/>
    <w:rsid w:val="001D4805"/>
    <w:rsid w:val="001D4CE8"/>
    <w:rsid w:val="001D5FF1"/>
    <w:rsid w:val="001D62D5"/>
    <w:rsid w:val="001D65F1"/>
    <w:rsid w:val="001D6F44"/>
    <w:rsid w:val="001D785A"/>
    <w:rsid w:val="001D798F"/>
    <w:rsid w:val="001D7D17"/>
    <w:rsid w:val="001D7E13"/>
    <w:rsid w:val="001D7EE3"/>
    <w:rsid w:val="001E0582"/>
    <w:rsid w:val="001E0D79"/>
    <w:rsid w:val="001E0E6A"/>
    <w:rsid w:val="001E14E5"/>
    <w:rsid w:val="001E1F5F"/>
    <w:rsid w:val="001E2184"/>
    <w:rsid w:val="001E2A92"/>
    <w:rsid w:val="001E2DF3"/>
    <w:rsid w:val="001E353E"/>
    <w:rsid w:val="001E3941"/>
    <w:rsid w:val="001E3FA0"/>
    <w:rsid w:val="001E4D6D"/>
    <w:rsid w:val="001E4FAF"/>
    <w:rsid w:val="001E503C"/>
    <w:rsid w:val="001E5404"/>
    <w:rsid w:val="001E63F9"/>
    <w:rsid w:val="001E648E"/>
    <w:rsid w:val="001E68C5"/>
    <w:rsid w:val="001E6A99"/>
    <w:rsid w:val="001E6CAD"/>
    <w:rsid w:val="001E6D30"/>
    <w:rsid w:val="001E700C"/>
    <w:rsid w:val="001E739E"/>
    <w:rsid w:val="001E78C0"/>
    <w:rsid w:val="001E78CC"/>
    <w:rsid w:val="001E78DC"/>
    <w:rsid w:val="001F0A9E"/>
    <w:rsid w:val="001F0AB0"/>
    <w:rsid w:val="001F0C43"/>
    <w:rsid w:val="001F11A7"/>
    <w:rsid w:val="001F129F"/>
    <w:rsid w:val="001F14C2"/>
    <w:rsid w:val="001F1768"/>
    <w:rsid w:val="001F1890"/>
    <w:rsid w:val="001F1BF9"/>
    <w:rsid w:val="001F1E0C"/>
    <w:rsid w:val="001F1EFA"/>
    <w:rsid w:val="001F2006"/>
    <w:rsid w:val="001F2229"/>
    <w:rsid w:val="001F24A3"/>
    <w:rsid w:val="001F2580"/>
    <w:rsid w:val="001F25D3"/>
    <w:rsid w:val="001F25D6"/>
    <w:rsid w:val="001F2AA6"/>
    <w:rsid w:val="001F3057"/>
    <w:rsid w:val="001F3E94"/>
    <w:rsid w:val="001F3F2D"/>
    <w:rsid w:val="001F3FA0"/>
    <w:rsid w:val="001F3FE3"/>
    <w:rsid w:val="001F4081"/>
    <w:rsid w:val="001F4292"/>
    <w:rsid w:val="001F4376"/>
    <w:rsid w:val="001F43F6"/>
    <w:rsid w:val="001F44FB"/>
    <w:rsid w:val="001F4A98"/>
    <w:rsid w:val="001F4C30"/>
    <w:rsid w:val="001F4DCD"/>
    <w:rsid w:val="001F4EDB"/>
    <w:rsid w:val="001F552D"/>
    <w:rsid w:val="001F5A28"/>
    <w:rsid w:val="001F629C"/>
    <w:rsid w:val="001F6A01"/>
    <w:rsid w:val="001F6D80"/>
    <w:rsid w:val="001F7230"/>
    <w:rsid w:val="001F76B8"/>
    <w:rsid w:val="001F7DA2"/>
    <w:rsid w:val="002000A9"/>
    <w:rsid w:val="00201575"/>
    <w:rsid w:val="002016A9"/>
    <w:rsid w:val="00201DAB"/>
    <w:rsid w:val="002024C0"/>
    <w:rsid w:val="00203287"/>
    <w:rsid w:val="00203D3F"/>
    <w:rsid w:val="0020416F"/>
    <w:rsid w:val="00204702"/>
    <w:rsid w:val="002048EB"/>
    <w:rsid w:val="00204D1D"/>
    <w:rsid w:val="00205952"/>
    <w:rsid w:val="002059EE"/>
    <w:rsid w:val="00205AE1"/>
    <w:rsid w:val="0020664A"/>
    <w:rsid w:val="00206C0F"/>
    <w:rsid w:val="00207095"/>
    <w:rsid w:val="00207496"/>
    <w:rsid w:val="00207708"/>
    <w:rsid w:val="00207B52"/>
    <w:rsid w:val="00210104"/>
    <w:rsid w:val="002102F3"/>
    <w:rsid w:val="002104EC"/>
    <w:rsid w:val="002107FC"/>
    <w:rsid w:val="00210AAF"/>
    <w:rsid w:val="00210B49"/>
    <w:rsid w:val="00210C68"/>
    <w:rsid w:val="002110D7"/>
    <w:rsid w:val="0021128E"/>
    <w:rsid w:val="002114C2"/>
    <w:rsid w:val="00211D19"/>
    <w:rsid w:val="00211EA8"/>
    <w:rsid w:val="00213398"/>
    <w:rsid w:val="00213D96"/>
    <w:rsid w:val="0021420D"/>
    <w:rsid w:val="002144D3"/>
    <w:rsid w:val="00214C78"/>
    <w:rsid w:val="00214CA7"/>
    <w:rsid w:val="002154C3"/>
    <w:rsid w:val="00215705"/>
    <w:rsid w:val="00215B2D"/>
    <w:rsid w:val="002166D1"/>
    <w:rsid w:val="0021681A"/>
    <w:rsid w:val="00216A76"/>
    <w:rsid w:val="00216C93"/>
    <w:rsid w:val="00216EA8"/>
    <w:rsid w:val="00217351"/>
    <w:rsid w:val="002176A7"/>
    <w:rsid w:val="00217A34"/>
    <w:rsid w:val="00217F5E"/>
    <w:rsid w:val="0022087F"/>
    <w:rsid w:val="00220F66"/>
    <w:rsid w:val="002212BD"/>
    <w:rsid w:val="00221406"/>
    <w:rsid w:val="0022144E"/>
    <w:rsid w:val="00221C6D"/>
    <w:rsid w:val="00221E15"/>
    <w:rsid w:val="00221FD9"/>
    <w:rsid w:val="00222340"/>
    <w:rsid w:val="002224F1"/>
    <w:rsid w:val="002229DD"/>
    <w:rsid w:val="002232B0"/>
    <w:rsid w:val="00223431"/>
    <w:rsid w:val="00223676"/>
    <w:rsid w:val="002236BA"/>
    <w:rsid w:val="002239E7"/>
    <w:rsid w:val="00224601"/>
    <w:rsid w:val="00224B09"/>
    <w:rsid w:val="00225121"/>
    <w:rsid w:val="00225367"/>
    <w:rsid w:val="002253E8"/>
    <w:rsid w:val="00225D7D"/>
    <w:rsid w:val="00226243"/>
    <w:rsid w:val="00227401"/>
    <w:rsid w:val="00227640"/>
    <w:rsid w:val="0022781E"/>
    <w:rsid w:val="002279C1"/>
    <w:rsid w:val="00227AEC"/>
    <w:rsid w:val="00227C77"/>
    <w:rsid w:val="002303B8"/>
    <w:rsid w:val="0023079C"/>
    <w:rsid w:val="0023090A"/>
    <w:rsid w:val="0023098C"/>
    <w:rsid w:val="00230E76"/>
    <w:rsid w:val="00231AFF"/>
    <w:rsid w:val="00231D7D"/>
    <w:rsid w:val="00232230"/>
    <w:rsid w:val="002327C8"/>
    <w:rsid w:val="00232BBD"/>
    <w:rsid w:val="00232D13"/>
    <w:rsid w:val="00232D16"/>
    <w:rsid w:val="00232D60"/>
    <w:rsid w:val="002331CD"/>
    <w:rsid w:val="00233326"/>
    <w:rsid w:val="00233397"/>
    <w:rsid w:val="00233879"/>
    <w:rsid w:val="0023388B"/>
    <w:rsid w:val="00233897"/>
    <w:rsid w:val="00233A2A"/>
    <w:rsid w:val="00233B7D"/>
    <w:rsid w:val="00233C13"/>
    <w:rsid w:val="00233FFD"/>
    <w:rsid w:val="00234CF1"/>
    <w:rsid w:val="00234F92"/>
    <w:rsid w:val="002357B8"/>
    <w:rsid w:val="002357EB"/>
    <w:rsid w:val="002361C8"/>
    <w:rsid w:val="00236C83"/>
    <w:rsid w:val="00237C20"/>
    <w:rsid w:val="00237C2B"/>
    <w:rsid w:val="00237EA2"/>
    <w:rsid w:val="002402C6"/>
    <w:rsid w:val="0024093A"/>
    <w:rsid w:val="00240A69"/>
    <w:rsid w:val="00240CB1"/>
    <w:rsid w:val="00240F75"/>
    <w:rsid w:val="00241A51"/>
    <w:rsid w:val="00241D51"/>
    <w:rsid w:val="0024204B"/>
    <w:rsid w:val="00242A32"/>
    <w:rsid w:val="00242A91"/>
    <w:rsid w:val="00242BC1"/>
    <w:rsid w:val="0024312C"/>
    <w:rsid w:val="0024340D"/>
    <w:rsid w:val="0024357B"/>
    <w:rsid w:val="00243A79"/>
    <w:rsid w:val="002441BB"/>
    <w:rsid w:val="0024439D"/>
    <w:rsid w:val="0024453F"/>
    <w:rsid w:val="00244860"/>
    <w:rsid w:val="00244D09"/>
    <w:rsid w:val="00244D30"/>
    <w:rsid w:val="002452B4"/>
    <w:rsid w:val="0024547C"/>
    <w:rsid w:val="0024550E"/>
    <w:rsid w:val="00245D83"/>
    <w:rsid w:val="002461A8"/>
    <w:rsid w:val="00246CE3"/>
    <w:rsid w:val="0024702A"/>
    <w:rsid w:val="0024743F"/>
    <w:rsid w:val="0024759C"/>
    <w:rsid w:val="00247B1A"/>
    <w:rsid w:val="00247D8C"/>
    <w:rsid w:val="00247DE1"/>
    <w:rsid w:val="00247DF2"/>
    <w:rsid w:val="00250577"/>
    <w:rsid w:val="002507FC"/>
    <w:rsid w:val="00250E85"/>
    <w:rsid w:val="0025111C"/>
    <w:rsid w:val="002511DA"/>
    <w:rsid w:val="002511EA"/>
    <w:rsid w:val="00251588"/>
    <w:rsid w:val="002515EF"/>
    <w:rsid w:val="002518DF"/>
    <w:rsid w:val="002519E6"/>
    <w:rsid w:val="002519F9"/>
    <w:rsid w:val="00251BFC"/>
    <w:rsid w:val="002520AA"/>
    <w:rsid w:val="00252461"/>
    <w:rsid w:val="00252BA9"/>
    <w:rsid w:val="00252D05"/>
    <w:rsid w:val="00252D94"/>
    <w:rsid w:val="00253194"/>
    <w:rsid w:val="002534A2"/>
    <w:rsid w:val="002534E1"/>
    <w:rsid w:val="00253818"/>
    <w:rsid w:val="00253986"/>
    <w:rsid w:val="00253E0B"/>
    <w:rsid w:val="00253EF3"/>
    <w:rsid w:val="00254141"/>
    <w:rsid w:val="002547F9"/>
    <w:rsid w:val="002554FE"/>
    <w:rsid w:val="00255734"/>
    <w:rsid w:val="00255DE3"/>
    <w:rsid w:val="00255E95"/>
    <w:rsid w:val="0025640A"/>
    <w:rsid w:val="00256B41"/>
    <w:rsid w:val="00256CC4"/>
    <w:rsid w:val="00257870"/>
    <w:rsid w:val="00257B06"/>
    <w:rsid w:val="00257BD3"/>
    <w:rsid w:val="00260059"/>
    <w:rsid w:val="0026059D"/>
    <w:rsid w:val="00260D02"/>
    <w:rsid w:val="00260E7D"/>
    <w:rsid w:val="00260F05"/>
    <w:rsid w:val="002612DE"/>
    <w:rsid w:val="0026135A"/>
    <w:rsid w:val="00261861"/>
    <w:rsid w:val="002618A7"/>
    <w:rsid w:val="00261B41"/>
    <w:rsid w:val="00261C8B"/>
    <w:rsid w:val="00261E7C"/>
    <w:rsid w:val="00262021"/>
    <w:rsid w:val="0026207E"/>
    <w:rsid w:val="002621E6"/>
    <w:rsid w:val="00262F03"/>
    <w:rsid w:val="00263080"/>
    <w:rsid w:val="002630FB"/>
    <w:rsid w:val="002635FA"/>
    <w:rsid w:val="002639FE"/>
    <w:rsid w:val="00264487"/>
    <w:rsid w:val="00264B9E"/>
    <w:rsid w:val="00265269"/>
    <w:rsid w:val="00265A27"/>
    <w:rsid w:val="00265CF8"/>
    <w:rsid w:val="00265DBB"/>
    <w:rsid w:val="00265E5E"/>
    <w:rsid w:val="002663DF"/>
    <w:rsid w:val="0026688E"/>
    <w:rsid w:val="00266B9C"/>
    <w:rsid w:val="00267015"/>
    <w:rsid w:val="0026785F"/>
    <w:rsid w:val="00267B25"/>
    <w:rsid w:val="00267BA0"/>
    <w:rsid w:val="00267C66"/>
    <w:rsid w:val="00267D20"/>
    <w:rsid w:val="00267EB7"/>
    <w:rsid w:val="00270403"/>
    <w:rsid w:val="00270E7B"/>
    <w:rsid w:val="00271567"/>
    <w:rsid w:val="00271A44"/>
    <w:rsid w:val="00271B55"/>
    <w:rsid w:val="00271CBF"/>
    <w:rsid w:val="00271F68"/>
    <w:rsid w:val="00271FA9"/>
    <w:rsid w:val="00272221"/>
    <w:rsid w:val="00272573"/>
    <w:rsid w:val="0027291F"/>
    <w:rsid w:val="00273041"/>
    <w:rsid w:val="0027334E"/>
    <w:rsid w:val="002735AD"/>
    <w:rsid w:val="00273654"/>
    <w:rsid w:val="00273706"/>
    <w:rsid w:val="002737DD"/>
    <w:rsid w:val="00273AF3"/>
    <w:rsid w:val="00273B8F"/>
    <w:rsid w:val="00273D21"/>
    <w:rsid w:val="002741D0"/>
    <w:rsid w:val="00274B33"/>
    <w:rsid w:val="00275E02"/>
    <w:rsid w:val="00276045"/>
    <w:rsid w:val="00276B27"/>
    <w:rsid w:val="00276D0C"/>
    <w:rsid w:val="00277053"/>
    <w:rsid w:val="0027719A"/>
    <w:rsid w:val="0027724F"/>
    <w:rsid w:val="00277E35"/>
    <w:rsid w:val="00280020"/>
    <w:rsid w:val="00280301"/>
    <w:rsid w:val="002807C6"/>
    <w:rsid w:val="00280B93"/>
    <w:rsid w:val="002812F7"/>
    <w:rsid w:val="00281849"/>
    <w:rsid w:val="00281A27"/>
    <w:rsid w:val="00281B91"/>
    <w:rsid w:val="00282325"/>
    <w:rsid w:val="00282755"/>
    <w:rsid w:val="00282901"/>
    <w:rsid w:val="00282AF7"/>
    <w:rsid w:val="00283269"/>
    <w:rsid w:val="002834AE"/>
    <w:rsid w:val="00283BC3"/>
    <w:rsid w:val="00284095"/>
    <w:rsid w:val="002840A3"/>
    <w:rsid w:val="00284E88"/>
    <w:rsid w:val="002850B2"/>
    <w:rsid w:val="0028537C"/>
    <w:rsid w:val="00285517"/>
    <w:rsid w:val="00285539"/>
    <w:rsid w:val="002855B2"/>
    <w:rsid w:val="00285633"/>
    <w:rsid w:val="00285F09"/>
    <w:rsid w:val="002864C3"/>
    <w:rsid w:val="002864D1"/>
    <w:rsid w:val="00286B8E"/>
    <w:rsid w:val="0028705E"/>
    <w:rsid w:val="0028750F"/>
    <w:rsid w:val="00287E37"/>
    <w:rsid w:val="00287FA6"/>
    <w:rsid w:val="0029034B"/>
    <w:rsid w:val="00290D96"/>
    <w:rsid w:val="00290F01"/>
    <w:rsid w:val="00290FA1"/>
    <w:rsid w:val="00291276"/>
    <w:rsid w:val="002915A0"/>
    <w:rsid w:val="002915C9"/>
    <w:rsid w:val="00291916"/>
    <w:rsid w:val="00291B84"/>
    <w:rsid w:val="00291CCE"/>
    <w:rsid w:val="00291CEC"/>
    <w:rsid w:val="002921DB"/>
    <w:rsid w:val="002923B9"/>
    <w:rsid w:val="00292536"/>
    <w:rsid w:val="00292986"/>
    <w:rsid w:val="00293BA2"/>
    <w:rsid w:val="00293F1B"/>
    <w:rsid w:val="002941AE"/>
    <w:rsid w:val="002942C4"/>
    <w:rsid w:val="0029536D"/>
    <w:rsid w:val="002953F4"/>
    <w:rsid w:val="0029589B"/>
    <w:rsid w:val="002958F1"/>
    <w:rsid w:val="00295D5B"/>
    <w:rsid w:val="00295DBC"/>
    <w:rsid w:val="002974FA"/>
    <w:rsid w:val="00297D16"/>
    <w:rsid w:val="002A01D8"/>
    <w:rsid w:val="002A01F0"/>
    <w:rsid w:val="002A03D9"/>
    <w:rsid w:val="002A0445"/>
    <w:rsid w:val="002A04A0"/>
    <w:rsid w:val="002A0CD1"/>
    <w:rsid w:val="002A0DB6"/>
    <w:rsid w:val="002A12EB"/>
    <w:rsid w:val="002A167F"/>
    <w:rsid w:val="002A1A04"/>
    <w:rsid w:val="002A1BE1"/>
    <w:rsid w:val="002A1C94"/>
    <w:rsid w:val="002A1E5C"/>
    <w:rsid w:val="002A2D66"/>
    <w:rsid w:val="002A30FB"/>
    <w:rsid w:val="002A3194"/>
    <w:rsid w:val="002A3262"/>
    <w:rsid w:val="002A3643"/>
    <w:rsid w:val="002A3BF6"/>
    <w:rsid w:val="002A3D24"/>
    <w:rsid w:val="002A3D40"/>
    <w:rsid w:val="002A3E4E"/>
    <w:rsid w:val="002A44C9"/>
    <w:rsid w:val="002A4683"/>
    <w:rsid w:val="002A4BD6"/>
    <w:rsid w:val="002A4BFB"/>
    <w:rsid w:val="002A5795"/>
    <w:rsid w:val="002A5837"/>
    <w:rsid w:val="002A5E8D"/>
    <w:rsid w:val="002A5EB3"/>
    <w:rsid w:val="002A5FB4"/>
    <w:rsid w:val="002A74A5"/>
    <w:rsid w:val="002A7BA6"/>
    <w:rsid w:val="002A7C45"/>
    <w:rsid w:val="002A7F95"/>
    <w:rsid w:val="002B0043"/>
    <w:rsid w:val="002B02A7"/>
    <w:rsid w:val="002B03D4"/>
    <w:rsid w:val="002B03E4"/>
    <w:rsid w:val="002B04EE"/>
    <w:rsid w:val="002B0A19"/>
    <w:rsid w:val="002B11D4"/>
    <w:rsid w:val="002B19D6"/>
    <w:rsid w:val="002B1AB3"/>
    <w:rsid w:val="002B1B23"/>
    <w:rsid w:val="002B2008"/>
    <w:rsid w:val="002B223B"/>
    <w:rsid w:val="002B24A8"/>
    <w:rsid w:val="002B272F"/>
    <w:rsid w:val="002B313C"/>
    <w:rsid w:val="002B3568"/>
    <w:rsid w:val="002B3E75"/>
    <w:rsid w:val="002B41F3"/>
    <w:rsid w:val="002B43A8"/>
    <w:rsid w:val="002B490C"/>
    <w:rsid w:val="002B4B8C"/>
    <w:rsid w:val="002B4F1D"/>
    <w:rsid w:val="002B5DBE"/>
    <w:rsid w:val="002B5FD8"/>
    <w:rsid w:val="002B6281"/>
    <w:rsid w:val="002B6FCB"/>
    <w:rsid w:val="002B72B8"/>
    <w:rsid w:val="002B77EE"/>
    <w:rsid w:val="002B7906"/>
    <w:rsid w:val="002B7966"/>
    <w:rsid w:val="002B7BDE"/>
    <w:rsid w:val="002B7D19"/>
    <w:rsid w:val="002C0070"/>
    <w:rsid w:val="002C04C2"/>
    <w:rsid w:val="002C15B4"/>
    <w:rsid w:val="002C17E8"/>
    <w:rsid w:val="002C1E90"/>
    <w:rsid w:val="002C2228"/>
    <w:rsid w:val="002C2329"/>
    <w:rsid w:val="002C2550"/>
    <w:rsid w:val="002C2CAE"/>
    <w:rsid w:val="002C3562"/>
    <w:rsid w:val="002C3AF0"/>
    <w:rsid w:val="002C3B19"/>
    <w:rsid w:val="002C4EF1"/>
    <w:rsid w:val="002C5602"/>
    <w:rsid w:val="002C5D1F"/>
    <w:rsid w:val="002C6565"/>
    <w:rsid w:val="002C68D0"/>
    <w:rsid w:val="002C6B76"/>
    <w:rsid w:val="002C7107"/>
    <w:rsid w:val="002C7832"/>
    <w:rsid w:val="002C7AAD"/>
    <w:rsid w:val="002C7BBF"/>
    <w:rsid w:val="002C7C6A"/>
    <w:rsid w:val="002D0011"/>
    <w:rsid w:val="002D00B7"/>
    <w:rsid w:val="002D077C"/>
    <w:rsid w:val="002D0B30"/>
    <w:rsid w:val="002D0F82"/>
    <w:rsid w:val="002D0F91"/>
    <w:rsid w:val="002D12E9"/>
    <w:rsid w:val="002D181A"/>
    <w:rsid w:val="002D192F"/>
    <w:rsid w:val="002D1B29"/>
    <w:rsid w:val="002D1BAE"/>
    <w:rsid w:val="002D1D37"/>
    <w:rsid w:val="002D2064"/>
    <w:rsid w:val="002D28F1"/>
    <w:rsid w:val="002D3AFB"/>
    <w:rsid w:val="002D3C44"/>
    <w:rsid w:val="002D3F84"/>
    <w:rsid w:val="002D3FFC"/>
    <w:rsid w:val="002D4058"/>
    <w:rsid w:val="002D42AE"/>
    <w:rsid w:val="002D489F"/>
    <w:rsid w:val="002D49D1"/>
    <w:rsid w:val="002D4D51"/>
    <w:rsid w:val="002D5AD1"/>
    <w:rsid w:val="002D5D7D"/>
    <w:rsid w:val="002D65D0"/>
    <w:rsid w:val="002D6788"/>
    <w:rsid w:val="002D687B"/>
    <w:rsid w:val="002D6BB3"/>
    <w:rsid w:val="002D7035"/>
    <w:rsid w:val="002D70BB"/>
    <w:rsid w:val="002D7328"/>
    <w:rsid w:val="002D79D4"/>
    <w:rsid w:val="002D7D03"/>
    <w:rsid w:val="002D7ED3"/>
    <w:rsid w:val="002E066F"/>
    <w:rsid w:val="002E08CE"/>
    <w:rsid w:val="002E0D63"/>
    <w:rsid w:val="002E0E53"/>
    <w:rsid w:val="002E13F8"/>
    <w:rsid w:val="002E17A5"/>
    <w:rsid w:val="002E191D"/>
    <w:rsid w:val="002E19C5"/>
    <w:rsid w:val="002E1D66"/>
    <w:rsid w:val="002E2C08"/>
    <w:rsid w:val="002E306F"/>
    <w:rsid w:val="002E30CA"/>
    <w:rsid w:val="002E38D7"/>
    <w:rsid w:val="002E42E4"/>
    <w:rsid w:val="002E447B"/>
    <w:rsid w:val="002E468D"/>
    <w:rsid w:val="002E4ED8"/>
    <w:rsid w:val="002E5219"/>
    <w:rsid w:val="002E6140"/>
    <w:rsid w:val="002E7B1C"/>
    <w:rsid w:val="002E7DBA"/>
    <w:rsid w:val="002E7F05"/>
    <w:rsid w:val="002F01EF"/>
    <w:rsid w:val="002F0522"/>
    <w:rsid w:val="002F0634"/>
    <w:rsid w:val="002F06A0"/>
    <w:rsid w:val="002F07D9"/>
    <w:rsid w:val="002F07E8"/>
    <w:rsid w:val="002F1385"/>
    <w:rsid w:val="002F1496"/>
    <w:rsid w:val="002F1806"/>
    <w:rsid w:val="002F1BEA"/>
    <w:rsid w:val="002F215A"/>
    <w:rsid w:val="002F21DB"/>
    <w:rsid w:val="002F2334"/>
    <w:rsid w:val="002F2436"/>
    <w:rsid w:val="002F2449"/>
    <w:rsid w:val="002F27DF"/>
    <w:rsid w:val="002F2883"/>
    <w:rsid w:val="002F30A9"/>
    <w:rsid w:val="002F32A5"/>
    <w:rsid w:val="002F352E"/>
    <w:rsid w:val="002F4617"/>
    <w:rsid w:val="002F471A"/>
    <w:rsid w:val="002F4900"/>
    <w:rsid w:val="002F4984"/>
    <w:rsid w:val="002F4E93"/>
    <w:rsid w:val="002F5053"/>
    <w:rsid w:val="002F5500"/>
    <w:rsid w:val="002F5678"/>
    <w:rsid w:val="002F5774"/>
    <w:rsid w:val="002F5B2C"/>
    <w:rsid w:val="002F72BF"/>
    <w:rsid w:val="002F74AD"/>
    <w:rsid w:val="002F75A6"/>
    <w:rsid w:val="002F7BE7"/>
    <w:rsid w:val="002F7CFA"/>
    <w:rsid w:val="00300038"/>
    <w:rsid w:val="003000BC"/>
    <w:rsid w:val="003002C5"/>
    <w:rsid w:val="0030080C"/>
    <w:rsid w:val="0030081A"/>
    <w:rsid w:val="00300CB8"/>
    <w:rsid w:val="003010B8"/>
    <w:rsid w:val="0030149C"/>
    <w:rsid w:val="00301523"/>
    <w:rsid w:val="00301635"/>
    <w:rsid w:val="003018B2"/>
    <w:rsid w:val="00302649"/>
    <w:rsid w:val="00302DC9"/>
    <w:rsid w:val="00302F7C"/>
    <w:rsid w:val="0030341D"/>
    <w:rsid w:val="00303AED"/>
    <w:rsid w:val="00303B20"/>
    <w:rsid w:val="0030426B"/>
    <w:rsid w:val="003043F4"/>
    <w:rsid w:val="003052C5"/>
    <w:rsid w:val="00305916"/>
    <w:rsid w:val="00305AAB"/>
    <w:rsid w:val="00305C7F"/>
    <w:rsid w:val="00305F32"/>
    <w:rsid w:val="003065FC"/>
    <w:rsid w:val="003071EE"/>
    <w:rsid w:val="003073D4"/>
    <w:rsid w:val="0030760E"/>
    <w:rsid w:val="00307688"/>
    <w:rsid w:val="003076B2"/>
    <w:rsid w:val="00307735"/>
    <w:rsid w:val="003077DF"/>
    <w:rsid w:val="003079AF"/>
    <w:rsid w:val="003079B4"/>
    <w:rsid w:val="0031020B"/>
    <w:rsid w:val="003106C5"/>
    <w:rsid w:val="00310E14"/>
    <w:rsid w:val="00310F56"/>
    <w:rsid w:val="00311242"/>
    <w:rsid w:val="00311624"/>
    <w:rsid w:val="00311D76"/>
    <w:rsid w:val="00311DFC"/>
    <w:rsid w:val="00311F5A"/>
    <w:rsid w:val="0031201D"/>
    <w:rsid w:val="0031215B"/>
    <w:rsid w:val="00312BA0"/>
    <w:rsid w:val="00312E85"/>
    <w:rsid w:val="00312F55"/>
    <w:rsid w:val="00313304"/>
    <w:rsid w:val="00313681"/>
    <w:rsid w:val="00313D32"/>
    <w:rsid w:val="00314AD5"/>
    <w:rsid w:val="00314AE4"/>
    <w:rsid w:val="00314B24"/>
    <w:rsid w:val="00314B44"/>
    <w:rsid w:val="003152C3"/>
    <w:rsid w:val="00315C38"/>
    <w:rsid w:val="00316402"/>
    <w:rsid w:val="00317086"/>
    <w:rsid w:val="003171FD"/>
    <w:rsid w:val="00317BA9"/>
    <w:rsid w:val="00317FFD"/>
    <w:rsid w:val="003205DB"/>
    <w:rsid w:val="00320BBE"/>
    <w:rsid w:val="00320BD2"/>
    <w:rsid w:val="00320CDC"/>
    <w:rsid w:val="00320E9F"/>
    <w:rsid w:val="00321030"/>
    <w:rsid w:val="00321D61"/>
    <w:rsid w:val="00322363"/>
    <w:rsid w:val="00322415"/>
    <w:rsid w:val="00322563"/>
    <w:rsid w:val="00322A65"/>
    <w:rsid w:val="00322BBE"/>
    <w:rsid w:val="00323386"/>
    <w:rsid w:val="0032339C"/>
    <w:rsid w:val="003244C1"/>
    <w:rsid w:val="00324935"/>
    <w:rsid w:val="0032523D"/>
    <w:rsid w:val="003253C2"/>
    <w:rsid w:val="003253F2"/>
    <w:rsid w:val="003260FF"/>
    <w:rsid w:val="00326392"/>
    <w:rsid w:val="00326580"/>
    <w:rsid w:val="00326D08"/>
    <w:rsid w:val="0032705C"/>
    <w:rsid w:val="00327705"/>
    <w:rsid w:val="00327792"/>
    <w:rsid w:val="003305A1"/>
    <w:rsid w:val="0033074F"/>
    <w:rsid w:val="00331AF9"/>
    <w:rsid w:val="00331D80"/>
    <w:rsid w:val="00332546"/>
    <w:rsid w:val="00332657"/>
    <w:rsid w:val="003328F6"/>
    <w:rsid w:val="00332C33"/>
    <w:rsid w:val="00333226"/>
    <w:rsid w:val="003349FF"/>
    <w:rsid w:val="00334DB8"/>
    <w:rsid w:val="003350C0"/>
    <w:rsid w:val="00335177"/>
    <w:rsid w:val="0033576A"/>
    <w:rsid w:val="00335E59"/>
    <w:rsid w:val="00335EC0"/>
    <w:rsid w:val="00336216"/>
    <w:rsid w:val="0033686E"/>
    <w:rsid w:val="00337019"/>
    <w:rsid w:val="00337049"/>
    <w:rsid w:val="003371CF"/>
    <w:rsid w:val="00337858"/>
    <w:rsid w:val="003378FF"/>
    <w:rsid w:val="00337B6F"/>
    <w:rsid w:val="00337D25"/>
    <w:rsid w:val="00337D3E"/>
    <w:rsid w:val="00337E22"/>
    <w:rsid w:val="00337E2B"/>
    <w:rsid w:val="00340477"/>
    <w:rsid w:val="00340ED2"/>
    <w:rsid w:val="003411BA"/>
    <w:rsid w:val="003414D9"/>
    <w:rsid w:val="0034184F"/>
    <w:rsid w:val="00341C39"/>
    <w:rsid w:val="00341E27"/>
    <w:rsid w:val="00341E67"/>
    <w:rsid w:val="00342035"/>
    <w:rsid w:val="0034258C"/>
    <w:rsid w:val="0034322C"/>
    <w:rsid w:val="0034378D"/>
    <w:rsid w:val="00343F99"/>
    <w:rsid w:val="00344029"/>
    <w:rsid w:val="00344120"/>
    <w:rsid w:val="00344B33"/>
    <w:rsid w:val="00345329"/>
    <w:rsid w:val="003455AC"/>
    <w:rsid w:val="0034590B"/>
    <w:rsid w:val="00345CAD"/>
    <w:rsid w:val="00345CC8"/>
    <w:rsid w:val="0034657D"/>
    <w:rsid w:val="003468F2"/>
    <w:rsid w:val="00346CC0"/>
    <w:rsid w:val="00346DB8"/>
    <w:rsid w:val="00346EFB"/>
    <w:rsid w:val="00346F58"/>
    <w:rsid w:val="0034743A"/>
    <w:rsid w:val="003474DC"/>
    <w:rsid w:val="0034773F"/>
    <w:rsid w:val="00347D64"/>
    <w:rsid w:val="00347F74"/>
    <w:rsid w:val="00350004"/>
    <w:rsid w:val="003501DE"/>
    <w:rsid w:val="003507BB"/>
    <w:rsid w:val="0035089B"/>
    <w:rsid w:val="003508CE"/>
    <w:rsid w:val="00350A8A"/>
    <w:rsid w:val="00350BBA"/>
    <w:rsid w:val="00350F15"/>
    <w:rsid w:val="003517CA"/>
    <w:rsid w:val="00351CC5"/>
    <w:rsid w:val="00351D9A"/>
    <w:rsid w:val="00352A04"/>
    <w:rsid w:val="00352DC7"/>
    <w:rsid w:val="00353648"/>
    <w:rsid w:val="003538D3"/>
    <w:rsid w:val="00353DB0"/>
    <w:rsid w:val="00354015"/>
    <w:rsid w:val="00354541"/>
    <w:rsid w:val="00354868"/>
    <w:rsid w:val="00354A2D"/>
    <w:rsid w:val="00354B9A"/>
    <w:rsid w:val="00355013"/>
    <w:rsid w:val="00355709"/>
    <w:rsid w:val="00355BF9"/>
    <w:rsid w:val="00356153"/>
    <w:rsid w:val="003561E7"/>
    <w:rsid w:val="00356A4E"/>
    <w:rsid w:val="00356C14"/>
    <w:rsid w:val="00356DF7"/>
    <w:rsid w:val="00356EA0"/>
    <w:rsid w:val="00356EE0"/>
    <w:rsid w:val="00356F50"/>
    <w:rsid w:val="003572BD"/>
    <w:rsid w:val="003575A0"/>
    <w:rsid w:val="003575A1"/>
    <w:rsid w:val="00357766"/>
    <w:rsid w:val="003579F0"/>
    <w:rsid w:val="00357AF8"/>
    <w:rsid w:val="00357C5F"/>
    <w:rsid w:val="00357E9D"/>
    <w:rsid w:val="00360156"/>
    <w:rsid w:val="0036025C"/>
    <w:rsid w:val="003603DC"/>
    <w:rsid w:val="00360800"/>
    <w:rsid w:val="00360B64"/>
    <w:rsid w:val="00361640"/>
    <w:rsid w:val="00361823"/>
    <w:rsid w:val="00361826"/>
    <w:rsid w:val="00361985"/>
    <w:rsid w:val="00361DC4"/>
    <w:rsid w:val="00361E4D"/>
    <w:rsid w:val="00362315"/>
    <w:rsid w:val="00362445"/>
    <w:rsid w:val="003624EA"/>
    <w:rsid w:val="00362734"/>
    <w:rsid w:val="00362C43"/>
    <w:rsid w:val="00363E3E"/>
    <w:rsid w:val="00364083"/>
    <w:rsid w:val="0036443F"/>
    <w:rsid w:val="00364567"/>
    <w:rsid w:val="00364600"/>
    <w:rsid w:val="00365017"/>
    <w:rsid w:val="003651C7"/>
    <w:rsid w:val="00365246"/>
    <w:rsid w:val="003652F5"/>
    <w:rsid w:val="003656D0"/>
    <w:rsid w:val="00365795"/>
    <w:rsid w:val="003667EA"/>
    <w:rsid w:val="003669AE"/>
    <w:rsid w:val="00366EDF"/>
    <w:rsid w:val="0036725A"/>
    <w:rsid w:val="0036739C"/>
    <w:rsid w:val="00367530"/>
    <w:rsid w:val="00370266"/>
    <w:rsid w:val="00370A91"/>
    <w:rsid w:val="00370BB0"/>
    <w:rsid w:val="00371171"/>
    <w:rsid w:val="00371380"/>
    <w:rsid w:val="00371568"/>
    <w:rsid w:val="003715E7"/>
    <w:rsid w:val="0037170C"/>
    <w:rsid w:val="0037173A"/>
    <w:rsid w:val="00371851"/>
    <w:rsid w:val="00371A1A"/>
    <w:rsid w:val="00371B21"/>
    <w:rsid w:val="00372345"/>
    <w:rsid w:val="00372360"/>
    <w:rsid w:val="00372487"/>
    <w:rsid w:val="003725E6"/>
    <w:rsid w:val="00372618"/>
    <w:rsid w:val="00372A62"/>
    <w:rsid w:val="003733E9"/>
    <w:rsid w:val="00373C48"/>
    <w:rsid w:val="00374123"/>
    <w:rsid w:val="00374193"/>
    <w:rsid w:val="00374420"/>
    <w:rsid w:val="0037481D"/>
    <w:rsid w:val="00374BDF"/>
    <w:rsid w:val="00375017"/>
    <w:rsid w:val="003752F6"/>
    <w:rsid w:val="0037543C"/>
    <w:rsid w:val="00375F62"/>
    <w:rsid w:val="0037632C"/>
    <w:rsid w:val="00376D2A"/>
    <w:rsid w:val="003777E4"/>
    <w:rsid w:val="003779C5"/>
    <w:rsid w:val="00377BCA"/>
    <w:rsid w:val="003801FB"/>
    <w:rsid w:val="003803FF"/>
    <w:rsid w:val="00380531"/>
    <w:rsid w:val="00380B34"/>
    <w:rsid w:val="00380C39"/>
    <w:rsid w:val="00380F82"/>
    <w:rsid w:val="00380FE1"/>
    <w:rsid w:val="00381D18"/>
    <w:rsid w:val="00381D7B"/>
    <w:rsid w:val="00382265"/>
    <w:rsid w:val="003825CD"/>
    <w:rsid w:val="003834E2"/>
    <w:rsid w:val="00383911"/>
    <w:rsid w:val="00383A50"/>
    <w:rsid w:val="00384081"/>
    <w:rsid w:val="003845EA"/>
    <w:rsid w:val="003847FA"/>
    <w:rsid w:val="00384CDE"/>
    <w:rsid w:val="00384EDA"/>
    <w:rsid w:val="00385347"/>
    <w:rsid w:val="0038562D"/>
    <w:rsid w:val="003859BA"/>
    <w:rsid w:val="00385E3C"/>
    <w:rsid w:val="00386D19"/>
    <w:rsid w:val="0038708E"/>
    <w:rsid w:val="003872E8"/>
    <w:rsid w:val="00387956"/>
    <w:rsid w:val="00387ED2"/>
    <w:rsid w:val="0039035B"/>
    <w:rsid w:val="00390759"/>
    <w:rsid w:val="00390A36"/>
    <w:rsid w:val="00391079"/>
    <w:rsid w:val="00391484"/>
    <w:rsid w:val="0039176A"/>
    <w:rsid w:val="003917FC"/>
    <w:rsid w:val="00391E3B"/>
    <w:rsid w:val="003920CB"/>
    <w:rsid w:val="003920E2"/>
    <w:rsid w:val="00392FFA"/>
    <w:rsid w:val="003932A0"/>
    <w:rsid w:val="00393A58"/>
    <w:rsid w:val="00393E29"/>
    <w:rsid w:val="00394117"/>
    <w:rsid w:val="00394CCC"/>
    <w:rsid w:val="003951EA"/>
    <w:rsid w:val="00396109"/>
    <w:rsid w:val="00396B4E"/>
    <w:rsid w:val="003973B5"/>
    <w:rsid w:val="00397596"/>
    <w:rsid w:val="00397832"/>
    <w:rsid w:val="00397CEF"/>
    <w:rsid w:val="003A0192"/>
    <w:rsid w:val="003A083E"/>
    <w:rsid w:val="003A08FC"/>
    <w:rsid w:val="003A1681"/>
    <w:rsid w:val="003A1B7C"/>
    <w:rsid w:val="003A25FC"/>
    <w:rsid w:val="003A27CF"/>
    <w:rsid w:val="003A2E07"/>
    <w:rsid w:val="003A2F44"/>
    <w:rsid w:val="003A31A1"/>
    <w:rsid w:val="003A3735"/>
    <w:rsid w:val="003A3E91"/>
    <w:rsid w:val="003A41BE"/>
    <w:rsid w:val="003A42F0"/>
    <w:rsid w:val="003A467B"/>
    <w:rsid w:val="003A488B"/>
    <w:rsid w:val="003A4B6D"/>
    <w:rsid w:val="003A4E27"/>
    <w:rsid w:val="003A4F63"/>
    <w:rsid w:val="003A5472"/>
    <w:rsid w:val="003A5683"/>
    <w:rsid w:val="003A5741"/>
    <w:rsid w:val="003A59E1"/>
    <w:rsid w:val="003A5F42"/>
    <w:rsid w:val="003A5FD3"/>
    <w:rsid w:val="003A6384"/>
    <w:rsid w:val="003B0421"/>
    <w:rsid w:val="003B0436"/>
    <w:rsid w:val="003B0509"/>
    <w:rsid w:val="003B085E"/>
    <w:rsid w:val="003B0874"/>
    <w:rsid w:val="003B10A4"/>
    <w:rsid w:val="003B124E"/>
    <w:rsid w:val="003B138C"/>
    <w:rsid w:val="003B1535"/>
    <w:rsid w:val="003B202A"/>
    <w:rsid w:val="003B26CE"/>
    <w:rsid w:val="003B27A2"/>
    <w:rsid w:val="003B2A7B"/>
    <w:rsid w:val="003B2B51"/>
    <w:rsid w:val="003B2E43"/>
    <w:rsid w:val="003B3806"/>
    <w:rsid w:val="003B4494"/>
    <w:rsid w:val="003B44E5"/>
    <w:rsid w:val="003B4A1B"/>
    <w:rsid w:val="003B4D96"/>
    <w:rsid w:val="003B52BC"/>
    <w:rsid w:val="003B5813"/>
    <w:rsid w:val="003B61FD"/>
    <w:rsid w:val="003B63E2"/>
    <w:rsid w:val="003B700A"/>
    <w:rsid w:val="003B7113"/>
    <w:rsid w:val="003B7117"/>
    <w:rsid w:val="003B7B72"/>
    <w:rsid w:val="003C00B5"/>
    <w:rsid w:val="003C020D"/>
    <w:rsid w:val="003C0C2B"/>
    <w:rsid w:val="003C1B83"/>
    <w:rsid w:val="003C1C28"/>
    <w:rsid w:val="003C1CC7"/>
    <w:rsid w:val="003C1DBB"/>
    <w:rsid w:val="003C2550"/>
    <w:rsid w:val="003C278C"/>
    <w:rsid w:val="003C28EE"/>
    <w:rsid w:val="003C29BC"/>
    <w:rsid w:val="003C2DC7"/>
    <w:rsid w:val="003C2FD9"/>
    <w:rsid w:val="003C360F"/>
    <w:rsid w:val="003C3C44"/>
    <w:rsid w:val="003C4450"/>
    <w:rsid w:val="003C4604"/>
    <w:rsid w:val="003C51A2"/>
    <w:rsid w:val="003C53D7"/>
    <w:rsid w:val="003C5A6C"/>
    <w:rsid w:val="003C5F6E"/>
    <w:rsid w:val="003C6027"/>
    <w:rsid w:val="003C609D"/>
    <w:rsid w:val="003C61A4"/>
    <w:rsid w:val="003C64E4"/>
    <w:rsid w:val="003C69DF"/>
    <w:rsid w:val="003C6D95"/>
    <w:rsid w:val="003C6EBA"/>
    <w:rsid w:val="003C7258"/>
    <w:rsid w:val="003C728E"/>
    <w:rsid w:val="003C7B18"/>
    <w:rsid w:val="003C7CFD"/>
    <w:rsid w:val="003D00F8"/>
    <w:rsid w:val="003D078F"/>
    <w:rsid w:val="003D091C"/>
    <w:rsid w:val="003D0943"/>
    <w:rsid w:val="003D0B57"/>
    <w:rsid w:val="003D0C7E"/>
    <w:rsid w:val="003D0D75"/>
    <w:rsid w:val="003D107F"/>
    <w:rsid w:val="003D12BD"/>
    <w:rsid w:val="003D24A0"/>
    <w:rsid w:val="003D2DB1"/>
    <w:rsid w:val="003D2DC7"/>
    <w:rsid w:val="003D3013"/>
    <w:rsid w:val="003D3334"/>
    <w:rsid w:val="003D3552"/>
    <w:rsid w:val="003D3A2C"/>
    <w:rsid w:val="003D3EA8"/>
    <w:rsid w:val="003D49E0"/>
    <w:rsid w:val="003D4AA8"/>
    <w:rsid w:val="003D5520"/>
    <w:rsid w:val="003D5679"/>
    <w:rsid w:val="003D5A0D"/>
    <w:rsid w:val="003D60EF"/>
    <w:rsid w:val="003D652F"/>
    <w:rsid w:val="003D65CC"/>
    <w:rsid w:val="003D6B58"/>
    <w:rsid w:val="003D6D73"/>
    <w:rsid w:val="003D7D64"/>
    <w:rsid w:val="003D7E10"/>
    <w:rsid w:val="003E0285"/>
    <w:rsid w:val="003E02E2"/>
    <w:rsid w:val="003E0874"/>
    <w:rsid w:val="003E0999"/>
    <w:rsid w:val="003E0FA0"/>
    <w:rsid w:val="003E16C5"/>
    <w:rsid w:val="003E16E4"/>
    <w:rsid w:val="003E1C3A"/>
    <w:rsid w:val="003E1D82"/>
    <w:rsid w:val="003E1F0B"/>
    <w:rsid w:val="003E2AAA"/>
    <w:rsid w:val="003E2BAA"/>
    <w:rsid w:val="003E3016"/>
    <w:rsid w:val="003E32DD"/>
    <w:rsid w:val="003E36F7"/>
    <w:rsid w:val="003E3754"/>
    <w:rsid w:val="003E37E7"/>
    <w:rsid w:val="003E3877"/>
    <w:rsid w:val="003E3DDF"/>
    <w:rsid w:val="003E3E12"/>
    <w:rsid w:val="003E4383"/>
    <w:rsid w:val="003E4738"/>
    <w:rsid w:val="003E490B"/>
    <w:rsid w:val="003E4BEE"/>
    <w:rsid w:val="003E4CAC"/>
    <w:rsid w:val="003E4FCE"/>
    <w:rsid w:val="003E52B3"/>
    <w:rsid w:val="003E57CC"/>
    <w:rsid w:val="003E5FA5"/>
    <w:rsid w:val="003E6103"/>
    <w:rsid w:val="003E617C"/>
    <w:rsid w:val="003E61DD"/>
    <w:rsid w:val="003E6368"/>
    <w:rsid w:val="003E6F88"/>
    <w:rsid w:val="003E7BC5"/>
    <w:rsid w:val="003E7FE3"/>
    <w:rsid w:val="003F045B"/>
    <w:rsid w:val="003F0750"/>
    <w:rsid w:val="003F0A13"/>
    <w:rsid w:val="003F0AC1"/>
    <w:rsid w:val="003F0D4E"/>
    <w:rsid w:val="003F0D62"/>
    <w:rsid w:val="003F0EAF"/>
    <w:rsid w:val="003F1021"/>
    <w:rsid w:val="003F10D6"/>
    <w:rsid w:val="003F126E"/>
    <w:rsid w:val="003F12D1"/>
    <w:rsid w:val="003F1514"/>
    <w:rsid w:val="003F16A0"/>
    <w:rsid w:val="003F2137"/>
    <w:rsid w:val="003F2BF8"/>
    <w:rsid w:val="003F2EAA"/>
    <w:rsid w:val="003F3421"/>
    <w:rsid w:val="003F3D25"/>
    <w:rsid w:val="003F4426"/>
    <w:rsid w:val="003F459F"/>
    <w:rsid w:val="003F4862"/>
    <w:rsid w:val="003F6D1B"/>
    <w:rsid w:val="003F71B2"/>
    <w:rsid w:val="003F7C6C"/>
    <w:rsid w:val="003F7FA9"/>
    <w:rsid w:val="004005B0"/>
    <w:rsid w:val="00400794"/>
    <w:rsid w:val="00400C4F"/>
    <w:rsid w:val="004014A5"/>
    <w:rsid w:val="004018C3"/>
    <w:rsid w:val="00401ED1"/>
    <w:rsid w:val="00402DA7"/>
    <w:rsid w:val="00402EFD"/>
    <w:rsid w:val="0040360F"/>
    <w:rsid w:val="004037F8"/>
    <w:rsid w:val="00403A90"/>
    <w:rsid w:val="00403D5B"/>
    <w:rsid w:val="00403ECD"/>
    <w:rsid w:val="00404319"/>
    <w:rsid w:val="00404516"/>
    <w:rsid w:val="004046B1"/>
    <w:rsid w:val="00404961"/>
    <w:rsid w:val="0040531D"/>
    <w:rsid w:val="004055D8"/>
    <w:rsid w:val="00405724"/>
    <w:rsid w:val="00405877"/>
    <w:rsid w:val="00405ABB"/>
    <w:rsid w:val="0040637B"/>
    <w:rsid w:val="0040666B"/>
    <w:rsid w:val="004069B6"/>
    <w:rsid w:val="00406D78"/>
    <w:rsid w:val="0040751C"/>
    <w:rsid w:val="004077C1"/>
    <w:rsid w:val="00407B28"/>
    <w:rsid w:val="00410BD6"/>
    <w:rsid w:val="004119AE"/>
    <w:rsid w:val="0041215D"/>
    <w:rsid w:val="004124F9"/>
    <w:rsid w:val="0041259E"/>
    <w:rsid w:val="0041262A"/>
    <w:rsid w:val="00412B2F"/>
    <w:rsid w:val="00412ECA"/>
    <w:rsid w:val="004133E0"/>
    <w:rsid w:val="004136AF"/>
    <w:rsid w:val="0041399F"/>
    <w:rsid w:val="00413A6B"/>
    <w:rsid w:val="00413C81"/>
    <w:rsid w:val="00414E70"/>
    <w:rsid w:val="0041502E"/>
    <w:rsid w:val="0041580F"/>
    <w:rsid w:val="0041591D"/>
    <w:rsid w:val="00415E74"/>
    <w:rsid w:val="004164FB"/>
    <w:rsid w:val="004164FF"/>
    <w:rsid w:val="004168D4"/>
    <w:rsid w:val="00416B1F"/>
    <w:rsid w:val="00417C81"/>
    <w:rsid w:val="00417DAC"/>
    <w:rsid w:val="00420275"/>
    <w:rsid w:val="004203C9"/>
    <w:rsid w:val="0042067C"/>
    <w:rsid w:val="00420885"/>
    <w:rsid w:val="00420B82"/>
    <w:rsid w:val="00420C01"/>
    <w:rsid w:val="0042132C"/>
    <w:rsid w:val="00421F07"/>
    <w:rsid w:val="00421F6E"/>
    <w:rsid w:val="00421FC5"/>
    <w:rsid w:val="00422771"/>
    <w:rsid w:val="00422D05"/>
    <w:rsid w:val="00423874"/>
    <w:rsid w:val="0042482F"/>
    <w:rsid w:val="004251BA"/>
    <w:rsid w:val="00425280"/>
    <w:rsid w:val="00425504"/>
    <w:rsid w:val="0042594D"/>
    <w:rsid w:val="00425B1F"/>
    <w:rsid w:val="00425F5F"/>
    <w:rsid w:val="0042622E"/>
    <w:rsid w:val="00426675"/>
    <w:rsid w:val="004272E9"/>
    <w:rsid w:val="00427388"/>
    <w:rsid w:val="00430674"/>
    <w:rsid w:val="00430D7E"/>
    <w:rsid w:val="00430F61"/>
    <w:rsid w:val="00430FC8"/>
    <w:rsid w:val="00431031"/>
    <w:rsid w:val="00431143"/>
    <w:rsid w:val="004313ED"/>
    <w:rsid w:val="00431507"/>
    <w:rsid w:val="00431755"/>
    <w:rsid w:val="00432693"/>
    <w:rsid w:val="00432C56"/>
    <w:rsid w:val="00433678"/>
    <w:rsid w:val="00433706"/>
    <w:rsid w:val="00433708"/>
    <w:rsid w:val="0043415B"/>
    <w:rsid w:val="004342C1"/>
    <w:rsid w:val="004347D0"/>
    <w:rsid w:val="00434C8D"/>
    <w:rsid w:val="00434E3B"/>
    <w:rsid w:val="00435089"/>
    <w:rsid w:val="0043528A"/>
    <w:rsid w:val="004358B8"/>
    <w:rsid w:val="0043599B"/>
    <w:rsid w:val="00435D33"/>
    <w:rsid w:val="00435FF0"/>
    <w:rsid w:val="00436081"/>
    <w:rsid w:val="004361B6"/>
    <w:rsid w:val="0043661B"/>
    <w:rsid w:val="00436F7E"/>
    <w:rsid w:val="00437643"/>
    <w:rsid w:val="00437BB7"/>
    <w:rsid w:val="00437D7D"/>
    <w:rsid w:val="00437D88"/>
    <w:rsid w:val="0044010E"/>
    <w:rsid w:val="004401EF"/>
    <w:rsid w:val="00440653"/>
    <w:rsid w:val="00440746"/>
    <w:rsid w:val="00440873"/>
    <w:rsid w:val="00440BC2"/>
    <w:rsid w:val="00440E12"/>
    <w:rsid w:val="00441089"/>
    <w:rsid w:val="00441577"/>
    <w:rsid w:val="00441832"/>
    <w:rsid w:val="00441A8E"/>
    <w:rsid w:val="00441C11"/>
    <w:rsid w:val="00441CCF"/>
    <w:rsid w:val="0044204F"/>
    <w:rsid w:val="00442A9B"/>
    <w:rsid w:val="004433B9"/>
    <w:rsid w:val="004434BA"/>
    <w:rsid w:val="0044385D"/>
    <w:rsid w:val="00443B07"/>
    <w:rsid w:val="00443E35"/>
    <w:rsid w:val="00443FE5"/>
    <w:rsid w:val="0044420C"/>
    <w:rsid w:val="004447D7"/>
    <w:rsid w:val="004448B0"/>
    <w:rsid w:val="00444AEE"/>
    <w:rsid w:val="00444EDF"/>
    <w:rsid w:val="00445230"/>
    <w:rsid w:val="00445367"/>
    <w:rsid w:val="0044543A"/>
    <w:rsid w:val="00445EDE"/>
    <w:rsid w:val="004463DA"/>
    <w:rsid w:val="0044670A"/>
    <w:rsid w:val="004467CC"/>
    <w:rsid w:val="00446916"/>
    <w:rsid w:val="00447026"/>
    <w:rsid w:val="004470D3"/>
    <w:rsid w:val="0044770A"/>
    <w:rsid w:val="00447F1E"/>
    <w:rsid w:val="00447F6D"/>
    <w:rsid w:val="004504C7"/>
    <w:rsid w:val="004505CF"/>
    <w:rsid w:val="00450AE1"/>
    <w:rsid w:val="00450E00"/>
    <w:rsid w:val="00450EF2"/>
    <w:rsid w:val="00451088"/>
    <w:rsid w:val="00451393"/>
    <w:rsid w:val="00452034"/>
    <w:rsid w:val="00452424"/>
    <w:rsid w:val="0045268F"/>
    <w:rsid w:val="004529DF"/>
    <w:rsid w:val="00452A69"/>
    <w:rsid w:val="00452C29"/>
    <w:rsid w:val="00452CCB"/>
    <w:rsid w:val="00452EFF"/>
    <w:rsid w:val="00453030"/>
    <w:rsid w:val="004532DC"/>
    <w:rsid w:val="00453360"/>
    <w:rsid w:val="00453DD3"/>
    <w:rsid w:val="004542AC"/>
    <w:rsid w:val="004549B2"/>
    <w:rsid w:val="00455077"/>
    <w:rsid w:val="0045541E"/>
    <w:rsid w:val="00455A0B"/>
    <w:rsid w:val="00455E7B"/>
    <w:rsid w:val="00455F7E"/>
    <w:rsid w:val="00456260"/>
    <w:rsid w:val="00456693"/>
    <w:rsid w:val="004566E4"/>
    <w:rsid w:val="00456BA9"/>
    <w:rsid w:val="00456BAE"/>
    <w:rsid w:val="00456C20"/>
    <w:rsid w:val="00456F99"/>
    <w:rsid w:val="00457044"/>
    <w:rsid w:val="00457768"/>
    <w:rsid w:val="004578E9"/>
    <w:rsid w:val="004605E9"/>
    <w:rsid w:val="00460640"/>
    <w:rsid w:val="00460BA5"/>
    <w:rsid w:val="00460EFA"/>
    <w:rsid w:val="00460F6E"/>
    <w:rsid w:val="00461126"/>
    <w:rsid w:val="00461823"/>
    <w:rsid w:val="0046183C"/>
    <w:rsid w:val="0046198D"/>
    <w:rsid w:val="00461DA2"/>
    <w:rsid w:val="004626A7"/>
    <w:rsid w:val="00462ED0"/>
    <w:rsid w:val="00462F5E"/>
    <w:rsid w:val="00463098"/>
    <w:rsid w:val="00463620"/>
    <w:rsid w:val="00463785"/>
    <w:rsid w:val="00463D67"/>
    <w:rsid w:val="00463F81"/>
    <w:rsid w:val="004641FA"/>
    <w:rsid w:val="0046486B"/>
    <w:rsid w:val="00464BFD"/>
    <w:rsid w:val="004650F4"/>
    <w:rsid w:val="004655BB"/>
    <w:rsid w:val="00465975"/>
    <w:rsid w:val="00465A3E"/>
    <w:rsid w:val="00465AED"/>
    <w:rsid w:val="00465E60"/>
    <w:rsid w:val="00465E79"/>
    <w:rsid w:val="00465F1A"/>
    <w:rsid w:val="004664D1"/>
    <w:rsid w:val="0046663F"/>
    <w:rsid w:val="00466845"/>
    <w:rsid w:val="00466A7E"/>
    <w:rsid w:val="00466E81"/>
    <w:rsid w:val="00466F7B"/>
    <w:rsid w:val="00466F7C"/>
    <w:rsid w:val="0046708F"/>
    <w:rsid w:val="00467915"/>
    <w:rsid w:val="00470189"/>
    <w:rsid w:val="0047047D"/>
    <w:rsid w:val="004706FE"/>
    <w:rsid w:val="0047086F"/>
    <w:rsid w:val="00470A3B"/>
    <w:rsid w:val="0047104C"/>
    <w:rsid w:val="0047176B"/>
    <w:rsid w:val="004719FF"/>
    <w:rsid w:val="00471E78"/>
    <w:rsid w:val="00471EE0"/>
    <w:rsid w:val="00471EE2"/>
    <w:rsid w:val="004720BC"/>
    <w:rsid w:val="00472358"/>
    <w:rsid w:val="00472929"/>
    <w:rsid w:val="00472C7B"/>
    <w:rsid w:val="00472E27"/>
    <w:rsid w:val="0047340C"/>
    <w:rsid w:val="004734E4"/>
    <w:rsid w:val="00473FD3"/>
    <w:rsid w:val="004748DD"/>
    <w:rsid w:val="00474A97"/>
    <w:rsid w:val="00475255"/>
    <w:rsid w:val="0047553E"/>
    <w:rsid w:val="00475B51"/>
    <w:rsid w:val="00475D6B"/>
    <w:rsid w:val="0047640B"/>
    <w:rsid w:val="00476509"/>
    <w:rsid w:val="00476804"/>
    <w:rsid w:val="00476ADF"/>
    <w:rsid w:val="00476DAD"/>
    <w:rsid w:val="004771EA"/>
    <w:rsid w:val="004773DD"/>
    <w:rsid w:val="0047768C"/>
    <w:rsid w:val="0048058F"/>
    <w:rsid w:val="00480E43"/>
    <w:rsid w:val="00480F79"/>
    <w:rsid w:val="00481305"/>
    <w:rsid w:val="004815CF"/>
    <w:rsid w:val="00481A1C"/>
    <w:rsid w:val="00481AD4"/>
    <w:rsid w:val="00482981"/>
    <w:rsid w:val="00482B8C"/>
    <w:rsid w:val="00482C63"/>
    <w:rsid w:val="00482E68"/>
    <w:rsid w:val="0048300A"/>
    <w:rsid w:val="00483011"/>
    <w:rsid w:val="004830FA"/>
    <w:rsid w:val="0048365D"/>
    <w:rsid w:val="00483832"/>
    <w:rsid w:val="00483AFB"/>
    <w:rsid w:val="0048447E"/>
    <w:rsid w:val="00484541"/>
    <w:rsid w:val="0048460C"/>
    <w:rsid w:val="00484B1D"/>
    <w:rsid w:val="00484E2A"/>
    <w:rsid w:val="00484F46"/>
    <w:rsid w:val="0048517C"/>
    <w:rsid w:val="004857B5"/>
    <w:rsid w:val="004858B5"/>
    <w:rsid w:val="00486225"/>
    <w:rsid w:val="00486248"/>
    <w:rsid w:val="0048689F"/>
    <w:rsid w:val="00486EA2"/>
    <w:rsid w:val="004872B4"/>
    <w:rsid w:val="0048766B"/>
    <w:rsid w:val="00487913"/>
    <w:rsid w:val="00487F33"/>
    <w:rsid w:val="004905B2"/>
    <w:rsid w:val="00490621"/>
    <w:rsid w:val="00490F66"/>
    <w:rsid w:val="0049122E"/>
    <w:rsid w:val="00491489"/>
    <w:rsid w:val="004920BD"/>
    <w:rsid w:val="004920D2"/>
    <w:rsid w:val="00492328"/>
    <w:rsid w:val="004924A1"/>
    <w:rsid w:val="00492B99"/>
    <w:rsid w:val="004930CB"/>
    <w:rsid w:val="00493A06"/>
    <w:rsid w:val="00493AFC"/>
    <w:rsid w:val="00493DAF"/>
    <w:rsid w:val="00494340"/>
    <w:rsid w:val="00494736"/>
    <w:rsid w:val="0049488C"/>
    <w:rsid w:val="00494B96"/>
    <w:rsid w:val="00494F6A"/>
    <w:rsid w:val="00495157"/>
    <w:rsid w:val="004952BA"/>
    <w:rsid w:val="0049588C"/>
    <w:rsid w:val="00495DE8"/>
    <w:rsid w:val="004960DE"/>
    <w:rsid w:val="004963F5"/>
    <w:rsid w:val="004966C8"/>
    <w:rsid w:val="00496EE6"/>
    <w:rsid w:val="004972BF"/>
    <w:rsid w:val="0049737F"/>
    <w:rsid w:val="004975FC"/>
    <w:rsid w:val="00497E76"/>
    <w:rsid w:val="004A00B3"/>
    <w:rsid w:val="004A01B5"/>
    <w:rsid w:val="004A1463"/>
    <w:rsid w:val="004A1EEB"/>
    <w:rsid w:val="004A2129"/>
    <w:rsid w:val="004A240B"/>
    <w:rsid w:val="004A3290"/>
    <w:rsid w:val="004A3443"/>
    <w:rsid w:val="004A346D"/>
    <w:rsid w:val="004A3971"/>
    <w:rsid w:val="004A400E"/>
    <w:rsid w:val="004A5901"/>
    <w:rsid w:val="004A669F"/>
    <w:rsid w:val="004A66B8"/>
    <w:rsid w:val="004A6C9A"/>
    <w:rsid w:val="004A6D5D"/>
    <w:rsid w:val="004A74BC"/>
    <w:rsid w:val="004A76D0"/>
    <w:rsid w:val="004A7808"/>
    <w:rsid w:val="004B011D"/>
    <w:rsid w:val="004B0233"/>
    <w:rsid w:val="004B06AA"/>
    <w:rsid w:val="004B15A7"/>
    <w:rsid w:val="004B1A1A"/>
    <w:rsid w:val="004B2294"/>
    <w:rsid w:val="004B27DF"/>
    <w:rsid w:val="004B29F0"/>
    <w:rsid w:val="004B2A36"/>
    <w:rsid w:val="004B2BE3"/>
    <w:rsid w:val="004B2FDD"/>
    <w:rsid w:val="004B33AD"/>
    <w:rsid w:val="004B38D4"/>
    <w:rsid w:val="004B3B0B"/>
    <w:rsid w:val="004B3C4C"/>
    <w:rsid w:val="004B403A"/>
    <w:rsid w:val="004B4166"/>
    <w:rsid w:val="004B4192"/>
    <w:rsid w:val="004B4451"/>
    <w:rsid w:val="004B4890"/>
    <w:rsid w:val="004B4BF2"/>
    <w:rsid w:val="004B5254"/>
    <w:rsid w:val="004B5ACA"/>
    <w:rsid w:val="004B5CC6"/>
    <w:rsid w:val="004B64AF"/>
    <w:rsid w:val="004B6B39"/>
    <w:rsid w:val="004B6D3F"/>
    <w:rsid w:val="004B7720"/>
    <w:rsid w:val="004B7B96"/>
    <w:rsid w:val="004B7ED0"/>
    <w:rsid w:val="004C0414"/>
    <w:rsid w:val="004C088B"/>
    <w:rsid w:val="004C096E"/>
    <w:rsid w:val="004C0A77"/>
    <w:rsid w:val="004C0BD1"/>
    <w:rsid w:val="004C13F7"/>
    <w:rsid w:val="004C238E"/>
    <w:rsid w:val="004C28CB"/>
    <w:rsid w:val="004C2CC1"/>
    <w:rsid w:val="004C36C9"/>
    <w:rsid w:val="004C37C7"/>
    <w:rsid w:val="004C3A24"/>
    <w:rsid w:val="004C3D32"/>
    <w:rsid w:val="004C449C"/>
    <w:rsid w:val="004C49B1"/>
    <w:rsid w:val="004C58EC"/>
    <w:rsid w:val="004C5997"/>
    <w:rsid w:val="004C5D39"/>
    <w:rsid w:val="004C604B"/>
    <w:rsid w:val="004C69A0"/>
    <w:rsid w:val="004C7A9F"/>
    <w:rsid w:val="004C7BB7"/>
    <w:rsid w:val="004C7E89"/>
    <w:rsid w:val="004D001C"/>
    <w:rsid w:val="004D0483"/>
    <w:rsid w:val="004D049C"/>
    <w:rsid w:val="004D0FB7"/>
    <w:rsid w:val="004D1A85"/>
    <w:rsid w:val="004D1F52"/>
    <w:rsid w:val="004D21CA"/>
    <w:rsid w:val="004D23F8"/>
    <w:rsid w:val="004D2610"/>
    <w:rsid w:val="004D275F"/>
    <w:rsid w:val="004D27F1"/>
    <w:rsid w:val="004D2880"/>
    <w:rsid w:val="004D2E93"/>
    <w:rsid w:val="004D315F"/>
    <w:rsid w:val="004D3828"/>
    <w:rsid w:val="004D387A"/>
    <w:rsid w:val="004D3A72"/>
    <w:rsid w:val="004D44CE"/>
    <w:rsid w:val="004D4A11"/>
    <w:rsid w:val="004D4CF5"/>
    <w:rsid w:val="004D5333"/>
    <w:rsid w:val="004D56DE"/>
    <w:rsid w:val="004D5D47"/>
    <w:rsid w:val="004D5DB7"/>
    <w:rsid w:val="004D6118"/>
    <w:rsid w:val="004D614D"/>
    <w:rsid w:val="004D63AE"/>
    <w:rsid w:val="004D65A0"/>
    <w:rsid w:val="004D66C0"/>
    <w:rsid w:val="004D69C1"/>
    <w:rsid w:val="004D69E9"/>
    <w:rsid w:val="004D6C73"/>
    <w:rsid w:val="004D7024"/>
    <w:rsid w:val="004D7756"/>
    <w:rsid w:val="004D7AF0"/>
    <w:rsid w:val="004D7BF6"/>
    <w:rsid w:val="004D7BFE"/>
    <w:rsid w:val="004D7E60"/>
    <w:rsid w:val="004E05B1"/>
    <w:rsid w:val="004E0754"/>
    <w:rsid w:val="004E0812"/>
    <w:rsid w:val="004E0956"/>
    <w:rsid w:val="004E0D57"/>
    <w:rsid w:val="004E0FB7"/>
    <w:rsid w:val="004E0FD3"/>
    <w:rsid w:val="004E108D"/>
    <w:rsid w:val="004E1212"/>
    <w:rsid w:val="004E167E"/>
    <w:rsid w:val="004E18DB"/>
    <w:rsid w:val="004E1D9D"/>
    <w:rsid w:val="004E1E6D"/>
    <w:rsid w:val="004E25F3"/>
    <w:rsid w:val="004E2AA6"/>
    <w:rsid w:val="004E2CAB"/>
    <w:rsid w:val="004E31EF"/>
    <w:rsid w:val="004E3467"/>
    <w:rsid w:val="004E38B1"/>
    <w:rsid w:val="004E39C7"/>
    <w:rsid w:val="004E3A2D"/>
    <w:rsid w:val="004E4491"/>
    <w:rsid w:val="004E4753"/>
    <w:rsid w:val="004E4926"/>
    <w:rsid w:val="004E4931"/>
    <w:rsid w:val="004E4A5E"/>
    <w:rsid w:val="004E5917"/>
    <w:rsid w:val="004E5ACE"/>
    <w:rsid w:val="004E5D56"/>
    <w:rsid w:val="004E5D9B"/>
    <w:rsid w:val="004E5F88"/>
    <w:rsid w:val="004E6AF9"/>
    <w:rsid w:val="004E6F49"/>
    <w:rsid w:val="004E78EE"/>
    <w:rsid w:val="004E7982"/>
    <w:rsid w:val="004E7A6A"/>
    <w:rsid w:val="004E7AB2"/>
    <w:rsid w:val="004E7CE3"/>
    <w:rsid w:val="004F00FC"/>
    <w:rsid w:val="004F0FA7"/>
    <w:rsid w:val="004F1014"/>
    <w:rsid w:val="004F1188"/>
    <w:rsid w:val="004F1456"/>
    <w:rsid w:val="004F169F"/>
    <w:rsid w:val="004F1BE9"/>
    <w:rsid w:val="004F2512"/>
    <w:rsid w:val="004F287D"/>
    <w:rsid w:val="004F2CBC"/>
    <w:rsid w:val="004F377B"/>
    <w:rsid w:val="004F3A5C"/>
    <w:rsid w:val="004F3B35"/>
    <w:rsid w:val="004F3E39"/>
    <w:rsid w:val="004F3FC7"/>
    <w:rsid w:val="004F45BF"/>
    <w:rsid w:val="004F45E5"/>
    <w:rsid w:val="004F45F1"/>
    <w:rsid w:val="004F4C95"/>
    <w:rsid w:val="004F523E"/>
    <w:rsid w:val="004F5295"/>
    <w:rsid w:val="004F5310"/>
    <w:rsid w:val="004F540E"/>
    <w:rsid w:val="004F555C"/>
    <w:rsid w:val="004F58A7"/>
    <w:rsid w:val="004F5A6F"/>
    <w:rsid w:val="004F5F14"/>
    <w:rsid w:val="004F6105"/>
    <w:rsid w:val="004F666B"/>
    <w:rsid w:val="004F6A57"/>
    <w:rsid w:val="004F6E86"/>
    <w:rsid w:val="004F7708"/>
    <w:rsid w:val="004F7CC2"/>
    <w:rsid w:val="004F7E63"/>
    <w:rsid w:val="004F7EAA"/>
    <w:rsid w:val="0050053F"/>
    <w:rsid w:val="00500C5D"/>
    <w:rsid w:val="00500FED"/>
    <w:rsid w:val="005010D5"/>
    <w:rsid w:val="005010EE"/>
    <w:rsid w:val="00501909"/>
    <w:rsid w:val="00501A5D"/>
    <w:rsid w:val="00502198"/>
    <w:rsid w:val="00502611"/>
    <w:rsid w:val="005034C1"/>
    <w:rsid w:val="005035E3"/>
    <w:rsid w:val="00503B1E"/>
    <w:rsid w:val="00503B43"/>
    <w:rsid w:val="00503B8B"/>
    <w:rsid w:val="00503C00"/>
    <w:rsid w:val="00504163"/>
    <w:rsid w:val="00504171"/>
    <w:rsid w:val="005041A2"/>
    <w:rsid w:val="005047BC"/>
    <w:rsid w:val="00504D94"/>
    <w:rsid w:val="00504ED0"/>
    <w:rsid w:val="00504F45"/>
    <w:rsid w:val="00505713"/>
    <w:rsid w:val="00505F46"/>
    <w:rsid w:val="005062AE"/>
    <w:rsid w:val="00506A60"/>
    <w:rsid w:val="00506DEA"/>
    <w:rsid w:val="005075C8"/>
    <w:rsid w:val="005076F6"/>
    <w:rsid w:val="005077C8"/>
    <w:rsid w:val="00507B40"/>
    <w:rsid w:val="005100A8"/>
    <w:rsid w:val="00510875"/>
    <w:rsid w:val="00510A83"/>
    <w:rsid w:val="00511034"/>
    <w:rsid w:val="005111D1"/>
    <w:rsid w:val="00511267"/>
    <w:rsid w:val="0051147F"/>
    <w:rsid w:val="005114E0"/>
    <w:rsid w:val="005116ED"/>
    <w:rsid w:val="0051171E"/>
    <w:rsid w:val="005117AD"/>
    <w:rsid w:val="005119DE"/>
    <w:rsid w:val="00511A17"/>
    <w:rsid w:val="00511C0F"/>
    <w:rsid w:val="005127CC"/>
    <w:rsid w:val="005131EC"/>
    <w:rsid w:val="0051371A"/>
    <w:rsid w:val="00513826"/>
    <w:rsid w:val="0051395E"/>
    <w:rsid w:val="005139CF"/>
    <w:rsid w:val="00514207"/>
    <w:rsid w:val="0051462B"/>
    <w:rsid w:val="00515228"/>
    <w:rsid w:val="00515325"/>
    <w:rsid w:val="00515436"/>
    <w:rsid w:val="00515DCA"/>
    <w:rsid w:val="0051630B"/>
    <w:rsid w:val="00516831"/>
    <w:rsid w:val="00516B87"/>
    <w:rsid w:val="005175FE"/>
    <w:rsid w:val="005178BD"/>
    <w:rsid w:val="005213BC"/>
    <w:rsid w:val="00521A4B"/>
    <w:rsid w:val="00521BC1"/>
    <w:rsid w:val="0052254C"/>
    <w:rsid w:val="005225DC"/>
    <w:rsid w:val="00522A0C"/>
    <w:rsid w:val="00522E19"/>
    <w:rsid w:val="00522E70"/>
    <w:rsid w:val="005230FD"/>
    <w:rsid w:val="0052341E"/>
    <w:rsid w:val="00523A90"/>
    <w:rsid w:val="00523B20"/>
    <w:rsid w:val="0052409B"/>
    <w:rsid w:val="00524132"/>
    <w:rsid w:val="00524247"/>
    <w:rsid w:val="0052453E"/>
    <w:rsid w:val="0052458E"/>
    <w:rsid w:val="00524B88"/>
    <w:rsid w:val="00524B9A"/>
    <w:rsid w:val="00524FB9"/>
    <w:rsid w:val="005250E7"/>
    <w:rsid w:val="0052539A"/>
    <w:rsid w:val="005255F7"/>
    <w:rsid w:val="005256D6"/>
    <w:rsid w:val="00525777"/>
    <w:rsid w:val="00525FC2"/>
    <w:rsid w:val="005264E9"/>
    <w:rsid w:val="00526720"/>
    <w:rsid w:val="00526923"/>
    <w:rsid w:val="00526E00"/>
    <w:rsid w:val="00527ECB"/>
    <w:rsid w:val="00530292"/>
    <w:rsid w:val="0053048B"/>
    <w:rsid w:val="005307A3"/>
    <w:rsid w:val="00531341"/>
    <w:rsid w:val="0053157C"/>
    <w:rsid w:val="005318CC"/>
    <w:rsid w:val="00531E32"/>
    <w:rsid w:val="005321C7"/>
    <w:rsid w:val="00532241"/>
    <w:rsid w:val="00532589"/>
    <w:rsid w:val="00532F76"/>
    <w:rsid w:val="00533463"/>
    <w:rsid w:val="00533979"/>
    <w:rsid w:val="00533A54"/>
    <w:rsid w:val="00534087"/>
    <w:rsid w:val="00534364"/>
    <w:rsid w:val="00534FBB"/>
    <w:rsid w:val="00535209"/>
    <w:rsid w:val="00535453"/>
    <w:rsid w:val="005354BE"/>
    <w:rsid w:val="00535743"/>
    <w:rsid w:val="005359D7"/>
    <w:rsid w:val="00535A89"/>
    <w:rsid w:val="00535C52"/>
    <w:rsid w:val="00535D7D"/>
    <w:rsid w:val="0053622E"/>
    <w:rsid w:val="0053645B"/>
    <w:rsid w:val="0053685F"/>
    <w:rsid w:val="00536CAB"/>
    <w:rsid w:val="00537272"/>
    <w:rsid w:val="005377AD"/>
    <w:rsid w:val="005379FF"/>
    <w:rsid w:val="00537BCB"/>
    <w:rsid w:val="00537BDF"/>
    <w:rsid w:val="00537CA8"/>
    <w:rsid w:val="00537EC0"/>
    <w:rsid w:val="00537F3B"/>
    <w:rsid w:val="005400D4"/>
    <w:rsid w:val="005402DE"/>
    <w:rsid w:val="00540300"/>
    <w:rsid w:val="0054096A"/>
    <w:rsid w:val="005409C2"/>
    <w:rsid w:val="00540A1B"/>
    <w:rsid w:val="00540B84"/>
    <w:rsid w:val="00540D49"/>
    <w:rsid w:val="00540E31"/>
    <w:rsid w:val="00540E5B"/>
    <w:rsid w:val="005415FF"/>
    <w:rsid w:val="00541E75"/>
    <w:rsid w:val="005423E9"/>
    <w:rsid w:val="00543747"/>
    <w:rsid w:val="00543AE0"/>
    <w:rsid w:val="0054423A"/>
    <w:rsid w:val="005446CA"/>
    <w:rsid w:val="00544F95"/>
    <w:rsid w:val="00545518"/>
    <w:rsid w:val="005459E9"/>
    <w:rsid w:val="00545A64"/>
    <w:rsid w:val="00545D24"/>
    <w:rsid w:val="00545F1E"/>
    <w:rsid w:val="0054620A"/>
    <w:rsid w:val="005466C7"/>
    <w:rsid w:val="005467BE"/>
    <w:rsid w:val="00546DAD"/>
    <w:rsid w:val="00547C92"/>
    <w:rsid w:val="00547EAB"/>
    <w:rsid w:val="00550505"/>
    <w:rsid w:val="0055069D"/>
    <w:rsid w:val="005508DB"/>
    <w:rsid w:val="00550C42"/>
    <w:rsid w:val="00550EEF"/>
    <w:rsid w:val="0055114A"/>
    <w:rsid w:val="00551529"/>
    <w:rsid w:val="0055177F"/>
    <w:rsid w:val="00551BDC"/>
    <w:rsid w:val="0055212B"/>
    <w:rsid w:val="00552546"/>
    <w:rsid w:val="0055260D"/>
    <w:rsid w:val="00552723"/>
    <w:rsid w:val="00552C34"/>
    <w:rsid w:val="00552D31"/>
    <w:rsid w:val="00552EA6"/>
    <w:rsid w:val="00552F69"/>
    <w:rsid w:val="0055303C"/>
    <w:rsid w:val="0055330C"/>
    <w:rsid w:val="00553400"/>
    <w:rsid w:val="00553422"/>
    <w:rsid w:val="00553E89"/>
    <w:rsid w:val="00553F5E"/>
    <w:rsid w:val="00554033"/>
    <w:rsid w:val="00554260"/>
    <w:rsid w:val="005546A7"/>
    <w:rsid w:val="00554DF5"/>
    <w:rsid w:val="00555B3A"/>
    <w:rsid w:val="0055656F"/>
    <w:rsid w:val="0055680D"/>
    <w:rsid w:val="00556B68"/>
    <w:rsid w:val="00557E52"/>
    <w:rsid w:val="00560BF8"/>
    <w:rsid w:val="005610C1"/>
    <w:rsid w:val="00561270"/>
    <w:rsid w:val="0056129A"/>
    <w:rsid w:val="005614EA"/>
    <w:rsid w:val="005615F1"/>
    <w:rsid w:val="00561995"/>
    <w:rsid w:val="00561D27"/>
    <w:rsid w:val="00562B16"/>
    <w:rsid w:val="00562CF0"/>
    <w:rsid w:val="00563457"/>
    <w:rsid w:val="00563520"/>
    <w:rsid w:val="00563EAB"/>
    <w:rsid w:val="00563F84"/>
    <w:rsid w:val="00564094"/>
    <w:rsid w:val="0056416A"/>
    <w:rsid w:val="0056418E"/>
    <w:rsid w:val="0056419E"/>
    <w:rsid w:val="00564367"/>
    <w:rsid w:val="00564391"/>
    <w:rsid w:val="005643E5"/>
    <w:rsid w:val="00564668"/>
    <w:rsid w:val="00564969"/>
    <w:rsid w:val="00564975"/>
    <w:rsid w:val="00564B49"/>
    <w:rsid w:val="0056511F"/>
    <w:rsid w:val="00565192"/>
    <w:rsid w:val="005651B6"/>
    <w:rsid w:val="00565224"/>
    <w:rsid w:val="00566854"/>
    <w:rsid w:val="00566CDC"/>
    <w:rsid w:val="00566EBA"/>
    <w:rsid w:val="00567250"/>
    <w:rsid w:val="00570469"/>
    <w:rsid w:val="00570648"/>
    <w:rsid w:val="00570723"/>
    <w:rsid w:val="00570724"/>
    <w:rsid w:val="005708C3"/>
    <w:rsid w:val="00570E5E"/>
    <w:rsid w:val="0057173C"/>
    <w:rsid w:val="005719B7"/>
    <w:rsid w:val="00571D27"/>
    <w:rsid w:val="00572399"/>
    <w:rsid w:val="00572511"/>
    <w:rsid w:val="00572C91"/>
    <w:rsid w:val="005730A4"/>
    <w:rsid w:val="005739FF"/>
    <w:rsid w:val="00573E3A"/>
    <w:rsid w:val="0057438A"/>
    <w:rsid w:val="0057438C"/>
    <w:rsid w:val="00574723"/>
    <w:rsid w:val="00574FFD"/>
    <w:rsid w:val="005751F8"/>
    <w:rsid w:val="0057586F"/>
    <w:rsid w:val="00575A40"/>
    <w:rsid w:val="00575EEB"/>
    <w:rsid w:val="00575FEB"/>
    <w:rsid w:val="00576278"/>
    <w:rsid w:val="00576737"/>
    <w:rsid w:val="00576E2E"/>
    <w:rsid w:val="005771BC"/>
    <w:rsid w:val="0057745D"/>
    <w:rsid w:val="00577B9B"/>
    <w:rsid w:val="00580194"/>
    <w:rsid w:val="005805D3"/>
    <w:rsid w:val="005814AC"/>
    <w:rsid w:val="0058184D"/>
    <w:rsid w:val="00581AEA"/>
    <w:rsid w:val="00581F9F"/>
    <w:rsid w:val="005826CF"/>
    <w:rsid w:val="00582835"/>
    <w:rsid w:val="00583418"/>
    <w:rsid w:val="005835FA"/>
    <w:rsid w:val="00583B0E"/>
    <w:rsid w:val="00583FBA"/>
    <w:rsid w:val="005844A3"/>
    <w:rsid w:val="00584BC6"/>
    <w:rsid w:val="00584F36"/>
    <w:rsid w:val="00584FCA"/>
    <w:rsid w:val="005851AA"/>
    <w:rsid w:val="00585529"/>
    <w:rsid w:val="0058565C"/>
    <w:rsid w:val="005857B1"/>
    <w:rsid w:val="00585C11"/>
    <w:rsid w:val="0058641B"/>
    <w:rsid w:val="0058711F"/>
    <w:rsid w:val="00587184"/>
    <w:rsid w:val="00587608"/>
    <w:rsid w:val="005877B5"/>
    <w:rsid w:val="00587E3F"/>
    <w:rsid w:val="00590762"/>
    <w:rsid w:val="005910AB"/>
    <w:rsid w:val="005917B3"/>
    <w:rsid w:val="0059188F"/>
    <w:rsid w:val="00592419"/>
    <w:rsid w:val="0059251B"/>
    <w:rsid w:val="005927A9"/>
    <w:rsid w:val="005928F4"/>
    <w:rsid w:val="00592CEC"/>
    <w:rsid w:val="00592FFB"/>
    <w:rsid w:val="005931E7"/>
    <w:rsid w:val="005933F6"/>
    <w:rsid w:val="00594483"/>
    <w:rsid w:val="005948EE"/>
    <w:rsid w:val="00594BB2"/>
    <w:rsid w:val="005951FB"/>
    <w:rsid w:val="00595690"/>
    <w:rsid w:val="005956CA"/>
    <w:rsid w:val="00595713"/>
    <w:rsid w:val="00595829"/>
    <w:rsid w:val="00595B1F"/>
    <w:rsid w:val="00595CEE"/>
    <w:rsid w:val="00595D01"/>
    <w:rsid w:val="00595D3A"/>
    <w:rsid w:val="00595F5C"/>
    <w:rsid w:val="005961EE"/>
    <w:rsid w:val="0059694A"/>
    <w:rsid w:val="0059717A"/>
    <w:rsid w:val="005972DC"/>
    <w:rsid w:val="00597631"/>
    <w:rsid w:val="00597767"/>
    <w:rsid w:val="00597BB9"/>
    <w:rsid w:val="00597C96"/>
    <w:rsid w:val="005A014B"/>
    <w:rsid w:val="005A05DC"/>
    <w:rsid w:val="005A09EE"/>
    <w:rsid w:val="005A0C80"/>
    <w:rsid w:val="005A0D16"/>
    <w:rsid w:val="005A1468"/>
    <w:rsid w:val="005A2367"/>
    <w:rsid w:val="005A2AA6"/>
    <w:rsid w:val="005A2D37"/>
    <w:rsid w:val="005A3073"/>
    <w:rsid w:val="005A3199"/>
    <w:rsid w:val="005A31B2"/>
    <w:rsid w:val="005A3A96"/>
    <w:rsid w:val="005A3E41"/>
    <w:rsid w:val="005A41B1"/>
    <w:rsid w:val="005A4511"/>
    <w:rsid w:val="005A4EC4"/>
    <w:rsid w:val="005A4FEE"/>
    <w:rsid w:val="005A50E6"/>
    <w:rsid w:val="005A54B4"/>
    <w:rsid w:val="005A56DF"/>
    <w:rsid w:val="005A5C1D"/>
    <w:rsid w:val="005A5F50"/>
    <w:rsid w:val="005A6253"/>
    <w:rsid w:val="005A672C"/>
    <w:rsid w:val="005A732A"/>
    <w:rsid w:val="005A79A0"/>
    <w:rsid w:val="005A7F69"/>
    <w:rsid w:val="005A7F96"/>
    <w:rsid w:val="005B009A"/>
    <w:rsid w:val="005B049A"/>
    <w:rsid w:val="005B051A"/>
    <w:rsid w:val="005B0629"/>
    <w:rsid w:val="005B070E"/>
    <w:rsid w:val="005B0CDB"/>
    <w:rsid w:val="005B1071"/>
    <w:rsid w:val="005B1D8D"/>
    <w:rsid w:val="005B24C6"/>
    <w:rsid w:val="005B2A76"/>
    <w:rsid w:val="005B3362"/>
    <w:rsid w:val="005B3817"/>
    <w:rsid w:val="005B385A"/>
    <w:rsid w:val="005B38B0"/>
    <w:rsid w:val="005B3C41"/>
    <w:rsid w:val="005B3E28"/>
    <w:rsid w:val="005B44DB"/>
    <w:rsid w:val="005B45B9"/>
    <w:rsid w:val="005B4D31"/>
    <w:rsid w:val="005B5225"/>
    <w:rsid w:val="005B550D"/>
    <w:rsid w:val="005B5A1A"/>
    <w:rsid w:val="005B5ACA"/>
    <w:rsid w:val="005B641F"/>
    <w:rsid w:val="005B659D"/>
    <w:rsid w:val="005B799A"/>
    <w:rsid w:val="005C02C3"/>
    <w:rsid w:val="005C0647"/>
    <w:rsid w:val="005C15FA"/>
    <w:rsid w:val="005C1995"/>
    <w:rsid w:val="005C1DEA"/>
    <w:rsid w:val="005C2400"/>
    <w:rsid w:val="005C2580"/>
    <w:rsid w:val="005C2DAE"/>
    <w:rsid w:val="005C2E8B"/>
    <w:rsid w:val="005C2F4C"/>
    <w:rsid w:val="005C3542"/>
    <w:rsid w:val="005C41EC"/>
    <w:rsid w:val="005C448D"/>
    <w:rsid w:val="005C44C0"/>
    <w:rsid w:val="005C4648"/>
    <w:rsid w:val="005C47D2"/>
    <w:rsid w:val="005C4C7C"/>
    <w:rsid w:val="005C5219"/>
    <w:rsid w:val="005C5446"/>
    <w:rsid w:val="005C549E"/>
    <w:rsid w:val="005C5A18"/>
    <w:rsid w:val="005C5AA0"/>
    <w:rsid w:val="005C5B4A"/>
    <w:rsid w:val="005C5C5E"/>
    <w:rsid w:val="005C5D51"/>
    <w:rsid w:val="005C5E61"/>
    <w:rsid w:val="005C625B"/>
    <w:rsid w:val="005C63AE"/>
    <w:rsid w:val="005C65EF"/>
    <w:rsid w:val="005C66AF"/>
    <w:rsid w:val="005C6737"/>
    <w:rsid w:val="005C6F24"/>
    <w:rsid w:val="005C733A"/>
    <w:rsid w:val="005C7CE4"/>
    <w:rsid w:val="005C7DB9"/>
    <w:rsid w:val="005C7F91"/>
    <w:rsid w:val="005D05AE"/>
    <w:rsid w:val="005D08DF"/>
    <w:rsid w:val="005D0AE1"/>
    <w:rsid w:val="005D0C71"/>
    <w:rsid w:val="005D0CCC"/>
    <w:rsid w:val="005D0EBB"/>
    <w:rsid w:val="005D112D"/>
    <w:rsid w:val="005D1801"/>
    <w:rsid w:val="005D2093"/>
    <w:rsid w:val="005D2094"/>
    <w:rsid w:val="005D218E"/>
    <w:rsid w:val="005D2F5C"/>
    <w:rsid w:val="005D30B0"/>
    <w:rsid w:val="005D4533"/>
    <w:rsid w:val="005D45A4"/>
    <w:rsid w:val="005D4797"/>
    <w:rsid w:val="005D488D"/>
    <w:rsid w:val="005D4A2D"/>
    <w:rsid w:val="005D4D43"/>
    <w:rsid w:val="005D518F"/>
    <w:rsid w:val="005D54F9"/>
    <w:rsid w:val="005D55ED"/>
    <w:rsid w:val="005D56D8"/>
    <w:rsid w:val="005D5B5A"/>
    <w:rsid w:val="005D5FD4"/>
    <w:rsid w:val="005D6377"/>
    <w:rsid w:val="005D64A9"/>
    <w:rsid w:val="005D65FB"/>
    <w:rsid w:val="005D6FBD"/>
    <w:rsid w:val="005D7286"/>
    <w:rsid w:val="005D753B"/>
    <w:rsid w:val="005D75F7"/>
    <w:rsid w:val="005D7981"/>
    <w:rsid w:val="005D7B03"/>
    <w:rsid w:val="005D7E23"/>
    <w:rsid w:val="005E0427"/>
    <w:rsid w:val="005E09B6"/>
    <w:rsid w:val="005E0B5B"/>
    <w:rsid w:val="005E0D5F"/>
    <w:rsid w:val="005E1193"/>
    <w:rsid w:val="005E1670"/>
    <w:rsid w:val="005E19C2"/>
    <w:rsid w:val="005E1B28"/>
    <w:rsid w:val="005E1DBC"/>
    <w:rsid w:val="005E218A"/>
    <w:rsid w:val="005E2310"/>
    <w:rsid w:val="005E24BD"/>
    <w:rsid w:val="005E258F"/>
    <w:rsid w:val="005E3297"/>
    <w:rsid w:val="005E350B"/>
    <w:rsid w:val="005E3DE2"/>
    <w:rsid w:val="005E40B6"/>
    <w:rsid w:val="005E4119"/>
    <w:rsid w:val="005E4435"/>
    <w:rsid w:val="005E4D5E"/>
    <w:rsid w:val="005E4EFA"/>
    <w:rsid w:val="005E4F51"/>
    <w:rsid w:val="005E5D30"/>
    <w:rsid w:val="005E6307"/>
    <w:rsid w:val="005E66BE"/>
    <w:rsid w:val="005E67ED"/>
    <w:rsid w:val="005E6F71"/>
    <w:rsid w:val="005E6FCB"/>
    <w:rsid w:val="005E7269"/>
    <w:rsid w:val="005E72E3"/>
    <w:rsid w:val="005E7631"/>
    <w:rsid w:val="005E7759"/>
    <w:rsid w:val="005E77CC"/>
    <w:rsid w:val="005E7AA4"/>
    <w:rsid w:val="005E7B93"/>
    <w:rsid w:val="005F0345"/>
    <w:rsid w:val="005F0560"/>
    <w:rsid w:val="005F0869"/>
    <w:rsid w:val="005F0B63"/>
    <w:rsid w:val="005F0DE2"/>
    <w:rsid w:val="005F177C"/>
    <w:rsid w:val="005F18A8"/>
    <w:rsid w:val="005F1EFF"/>
    <w:rsid w:val="005F23E7"/>
    <w:rsid w:val="005F2434"/>
    <w:rsid w:val="005F2488"/>
    <w:rsid w:val="005F24DC"/>
    <w:rsid w:val="005F2568"/>
    <w:rsid w:val="005F2DE4"/>
    <w:rsid w:val="005F373F"/>
    <w:rsid w:val="005F3841"/>
    <w:rsid w:val="005F3FAD"/>
    <w:rsid w:val="005F499D"/>
    <w:rsid w:val="005F4A40"/>
    <w:rsid w:val="005F4A8D"/>
    <w:rsid w:val="005F4C36"/>
    <w:rsid w:val="005F4F8B"/>
    <w:rsid w:val="005F4FBC"/>
    <w:rsid w:val="005F5115"/>
    <w:rsid w:val="005F54D9"/>
    <w:rsid w:val="005F5A1E"/>
    <w:rsid w:val="005F613E"/>
    <w:rsid w:val="005F622D"/>
    <w:rsid w:val="005F6512"/>
    <w:rsid w:val="005F654C"/>
    <w:rsid w:val="005F66BD"/>
    <w:rsid w:val="005F6837"/>
    <w:rsid w:val="005F68ED"/>
    <w:rsid w:val="005F6AD9"/>
    <w:rsid w:val="005F6D39"/>
    <w:rsid w:val="005F7331"/>
    <w:rsid w:val="005F78D8"/>
    <w:rsid w:val="005F7C70"/>
    <w:rsid w:val="00600526"/>
    <w:rsid w:val="0060085F"/>
    <w:rsid w:val="00600CC1"/>
    <w:rsid w:val="00600E98"/>
    <w:rsid w:val="006010D9"/>
    <w:rsid w:val="0060137F"/>
    <w:rsid w:val="006016FB"/>
    <w:rsid w:val="00601B03"/>
    <w:rsid w:val="006025CA"/>
    <w:rsid w:val="00602F21"/>
    <w:rsid w:val="00603376"/>
    <w:rsid w:val="0060389A"/>
    <w:rsid w:val="0060389E"/>
    <w:rsid w:val="00603C7E"/>
    <w:rsid w:val="00604749"/>
    <w:rsid w:val="00604752"/>
    <w:rsid w:val="00604DC1"/>
    <w:rsid w:val="00604DE0"/>
    <w:rsid w:val="00604E75"/>
    <w:rsid w:val="0060512C"/>
    <w:rsid w:val="006056ED"/>
    <w:rsid w:val="00605BCB"/>
    <w:rsid w:val="00605C81"/>
    <w:rsid w:val="0060638E"/>
    <w:rsid w:val="00607848"/>
    <w:rsid w:val="00607B6D"/>
    <w:rsid w:val="006102FB"/>
    <w:rsid w:val="006104BD"/>
    <w:rsid w:val="00610B3A"/>
    <w:rsid w:val="00610E2F"/>
    <w:rsid w:val="006113F9"/>
    <w:rsid w:val="00611723"/>
    <w:rsid w:val="006118DD"/>
    <w:rsid w:val="00611D48"/>
    <w:rsid w:val="00611E36"/>
    <w:rsid w:val="00611E97"/>
    <w:rsid w:val="00612382"/>
    <w:rsid w:val="00612B23"/>
    <w:rsid w:val="00613373"/>
    <w:rsid w:val="0061384C"/>
    <w:rsid w:val="006139D5"/>
    <w:rsid w:val="006139E4"/>
    <w:rsid w:val="00614E1B"/>
    <w:rsid w:val="0061503B"/>
    <w:rsid w:val="006152C7"/>
    <w:rsid w:val="00615819"/>
    <w:rsid w:val="00616134"/>
    <w:rsid w:val="006173BB"/>
    <w:rsid w:val="00617410"/>
    <w:rsid w:val="00617531"/>
    <w:rsid w:val="0061774A"/>
    <w:rsid w:val="00617961"/>
    <w:rsid w:val="006179FE"/>
    <w:rsid w:val="00617A61"/>
    <w:rsid w:val="00617D2E"/>
    <w:rsid w:val="00617EC0"/>
    <w:rsid w:val="006202C6"/>
    <w:rsid w:val="006203EE"/>
    <w:rsid w:val="006206BF"/>
    <w:rsid w:val="00620B07"/>
    <w:rsid w:val="00620B98"/>
    <w:rsid w:val="006210C5"/>
    <w:rsid w:val="00621364"/>
    <w:rsid w:val="00621C03"/>
    <w:rsid w:val="00621C40"/>
    <w:rsid w:val="00621D72"/>
    <w:rsid w:val="0062277E"/>
    <w:rsid w:val="00622EDD"/>
    <w:rsid w:val="00623223"/>
    <w:rsid w:val="00623669"/>
    <w:rsid w:val="00623BA2"/>
    <w:rsid w:val="006244D5"/>
    <w:rsid w:val="00624640"/>
    <w:rsid w:val="00624F8F"/>
    <w:rsid w:val="006252D0"/>
    <w:rsid w:val="00625561"/>
    <w:rsid w:val="00625869"/>
    <w:rsid w:val="006258C0"/>
    <w:rsid w:val="006258ED"/>
    <w:rsid w:val="00625CEA"/>
    <w:rsid w:val="00625DB3"/>
    <w:rsid w:val="00625EF2"/>
    <w:rsid w:val="0062679D"/>
    <w:rsid w:val="00626C80"/>
    <w:rsid w:val="006270B8"/>
    <w:rsid w:val="00627321"/>
    <w:rsid w:val="0062745A"/>
    <w:rsid w:val="00627FE4"/>
    <w:rsid w:val="0063001E"/>
    <w:rsid w:val="00631205"/>
    <w:rsid w:val="006318B2"/>
    <w:rsid w:val="00631A32"/>
    <w:rsid w:val="00631C1B"/>
    <w:rsid w:val="00631E8B"/>
    <w:rsid w:val="00631F56"/>
    <w:rsid w:val="0063207B"/>
    <w:rsid w:val="00632422"/>
    <w:rsid w:val="00632EA8"/>
    <w:rsid w:val="006338D4"/>
    <w:rsid w:val="00633B7D"/>
    <w:rsid w:val="00634014"/>
    <w:rsid w:val="00634102"/>
    <w:rsid w:val="00634292"/>
    <w:rsid w:val="006344A6"/>
    <w:rsid w:val="006344EB"/>
    <w:rsid w:val="00634799"/>
    <w:rsid w:val="006347D1"/>
    <w:rsid w:val="00634DF1"/>
    <w:rsid w:val="00634EAD"/>
    <w:rsid w:val="006351DE"/>
    <w:rsid w:val="0063589A"/>
    <w:rsid w:val="00635943"/>
    <w:rsid w:val="00635D5E"/>
    <w:rsid w:val="00635FB8"/>
    <w:rsid w:val="00636119"/>
    <w:rsid w:val="00636212"/>
    <w:rsid w:val="0063664D"/>
    <w:rsid w:val="006367DB"/>
    <w:rsid w:val="00636A0F"/>
    <w:rsid w:val="00636BD0"/>
    <w:rsid w:val="00636E53"/>
    <w:rsid w:val="00637009"/>
    <w:rsid w:val="00637021"/>
    <w:rsid w:val="00637886"/>
    <w:rsid w:val="00640AD6"/>
    <w:rsid w:val="00641079"/>
    <w:rsid w:val="006412E9"/>
    <w:rsid w:val="00641667"/>
    <w:rsid w:val="00641742"/>
    <w:rsid w:val="00641A98"/>
    <w:rsid w:val="00641B9B"/>
    <w:rsid w:val="0064229B"/>
    <w:rsid w:val="00642361"/>
    <w:rsid w:val="00642804"/>
    <w:rsid w:val="00642CFA"/>
    <w:rsid w:val="00642F6C"/>
    <w:rsid w:val="00643291"/>
    <w:rsid w:val="00643501"/>
    <w:rsid w:val="0064368D"/>
    <w:rsid w:val="006436ED"/>
    <w:rsid w:val="00643C70"/>
    <w:rsid w:val="00643D19"/>
    <w:rsid w:val="00644099"/>
    <w:rsid w:val="0064414E"/>
    <w:rsid w:val="00644385"/>
    <w:rsid w:val="006444AE"/>
    <w:rsid w:val="0064450F"/>
    <w:rsid w:val="00644753"/>
    <w:rsid w:val="0064476F"/>
    <w:rsid w:val="00644F75"/>
    <w:rsid w:val="0064523C"/>
    <w:rsid w:val="0064544F"/>
    <w:rsid w:val="0064590B"/>
    <w:rsid w:val="00645950"/>
    <w:rsid w:val="00645D35"/>
    <w:rsid w:val="00646363"/>
    <w:rsid w:val="00646613"/>
    <w:rsid w:val="00646BEC"/>
    <w:rsid w:val="00647342"/>
    <w:rsid w:val="00647959"/>
    <w:rsid w:val="00651125"/>
    <w:rsid w:val="00651663"/>
    <w:rsid w:val="00651705"/>
    <w:rsid w:val="006517DE"/>
    <w:rsid w:val="00651A74"/>
    <w:rsid w:val="00651C14"/>
    <w:rsid w:val="00651F1B"/>
    <w:rsid w:val="00651F5A"/>
    <w:rsid w:val="006529DA"/>
    <w:rsid w:val="00652C55"/>
    <w:rsid w:val="00652DF0"/>
    <w:rsid w:val="00652F42"/>
    <w:rsid w:val="006533F8"/>
    <w:rsid w:val="00653F41"/>
    <w:rsid w:val="006541DD"/>
    <w:rsid w:val="006542D4"/>
    <w:rsid w:val="00654381"/>
    <w:rsid w:val="00654667"/>
    <w:rsid w:val="006547EE"/>
    <w:rsid w:val="006548EA"/>
    <w:rsid w:val="00655029"/>
    <w:rsid w:val="00655AF8"/>
    <w:rsid w:val="0065612D"/>
    <w:rsid w:val="00656395"/>
    <w:rsid w:val="006566F5"/>
    <w:rsid w:val="00656812"/>
    <w:rsid w:val="0065695A"/>
    <w:rsid w:val="00656A25"/>
    <w:rsid w:val="00656C66"/>
    <w:rsid w:val="0065708A"/>
    <w:rsid w:val="00657416"/>
    <w:rsid w:val="00657458"/>
    <w:rsid w:val="00657545"/>
    <w:rsid w:val="00657674"/>
    <w:rsid w:val="006577B6"/>
    <w:rsid w:val="00657940"/>
    <w:rsid w:val="006579A4"/>
    <w:rsid w:val="0066020B"/>
    <w:rsid w:val="0066033D"/>
    <w:rsid w:val="006603CA"/>
    <w:rsid w:val="006605C5"/>
    <w:rsid w:val="006605F1"/>
    <w:rsid w:val="00660705"/>
    <w:rsid w:val="0066094A"/>
    <w:rsid w:val="00660989"/>
    <w:rsid w:val="00660F22"/>
    <w:rsid w:val="006612D5"/>
    <w:rsid w:val="00661420"/>
    <w:rsid w:val="00661815"/>
    <w:rsid w:val="0066184A"/>
    <w:rsid w:val="00661A37"/>
    <w:rsid w:val="00661ABE"/>
    <w:rsid w:val="00661D94"/>
    <w:rsid w:val="00661E06"/>
    <w:rsid w:val="00661E12"/>
    <w:rsid w:val="00661F7B"/>
    <w:rsid w:val="006632E7"/>
    <w:rsid w:val="00663334"/>
    <w:rsid w:val="006634C3"/>
    <w:rsid w:val="0066392F"/>
    <w:rsid w:val="006639B9"/>
    <w:rsid w:val="00663B6D"/>
    <w:rsid w:val="00663D48"/>
    <w:rsid w:val="006642E8"/>
    <w:rsid w:val="00664F94"/>
    <w:rsid w:val="00665819"/>
    <w:rsid w:val="00665B21"/>
    <w:rsid w:val="00665C0F"/>
    <w:rsid w:val="0066601A"/>
    <w:rsid w:val="006660A0"/>
    <w:rsid w:val="00666360"/>
    <w:rsid w:val="00666687"/>
    <w:rsid w:val="006668EE"/>
    <w:rsid w:val="00666AE3"/>
    <w:rsid w:val="006675F1"/>
    <w:rsid w:val="006676BE"/>
    <w:rsid w:val="00667705"/>
    <w:rsid w:val="0066771E"/>
    <w:rsid w:val="0067023B"/>
    <w:rsid w:val="006702F8"/>
    <w:rsid w:val="00670437"/>
    <w:rsid w:val="0067049C"/>
    <w:rsid w:val="00670533"/>
    <w:rsid w:val="00670659"/>
    <w:rsid w:val="00670724"/>
    <w:rsid w:val="00670D37"/>
    <w:rsid w:val="00670E08"/>
    <w:rsid w:val="0067119E"/>
    <w:rsid w:val="006718DD"/>
    <w:rsid w:val="00671903"/>
    <w:rsid w:val="00671CFB"/>
    <w:rsid w:val="00671D06"/>
    <w:rsid w:val="00672181"/>
    <w:rsid w:val="00672C75"/>
    <w:rsid w:val="00672DEC"/>
    <w:rsid w:val="00673648"/>
    <w:rsid w:val="006737C6"/>
    <w:rsid w:val="00673B82"/>
    <w:rsid w:val="00673C78"/>
    <w:rsid w:val="00673E76"/>
    <w:rsid w:val="00673F42"/>
    <w:rsid w:val="0067445B"/>
    <w:rsid w:val="006744BB"/>
    <w:rsid w:val="00674567"/>
    <w:rsid w:val="00674768"/>
    <w:rsid w:val="00674E55"/>
    <w:rsid w:val="00675187"/>
    <w:rsid w:val="006757B3"/>
    <w:rsid w:val="0067637F"/>
    <w:rsid w:val="006766B6"/>
    <w:rsid w:val="00676A5D"/>
    <w:rsid w:val="00676B5C"/>
    <w:rsid w:val="00676CD8"/>
    <w:rsid w:val="00676D3F"/>
    <w:rsid w:val="00680236"/>
    <w:rsid w:val="00680A81"/>
    <w:rsid w:val="006811FC"/>
    <w:rsid w:val="006813B1"/>
    <w:rsid w:val="0068152D"/>
    <w:rsid w:val="006818D8"/>
    <w:rsid w:val="006819BD"/>
    <w:rsid w:val="00681B6C"/>
    <w:rsid w:val="00681D4A"/>
    <w:rsid w:val="00681E73"/>
    <w:rsid w:val="00682266"/>
    <w:rsid w:val="0068283B"/>
    <w:rsid w:val="00682B3F"/>
    <w:rsid w:val="00682D8B"/>
    <w:rsid w:val="00682E95"/>
    <w:rsid w:val="00682EE6"/>
    <w:rsid w:val="00682F48"/>
    <w:rsid w:val="00682FFF"/>
    <w:rsid w:val="00683AC8"/>
    <w:rsid w:val="00683AE1"/>
    <w:rsid w:val="00683B31"/>
    <w:rsid w:val="00683BF4"/>
    <w:rsid w:val="00683FA1"/>
    <w:rsid w:val="006844BB"/>
    <w:rsid w:val="006844D7"/>
    <w:rsid w:val="00684541"/>
    <w:rsid w:val="00684AA8"/>
    <w:rsid w:val="00684AB1"/>
    <w:rsid w:val="00684C32"/>
    <w:rsid w:val="0068532B"/>
    <w:rsid w:val="00685442"/>
    <w:rsid w:val="00685E4B"/>
    <w:rsid w:val="00685F65"/>
    <w:rsid w:val="0068662A"/>
    <w:rsid w:val="00686BA7"/>
    <w:rsid w:val="00686CF7"/>
    <w:rsid w:val="00686E48"/>
    <w:rsid w:val="00687288"/>
    <w:rsid w:val="006872E1"/>
    <w:rsid w:val="00687841"/>
    <w:rsid w:val="00687E39"/>
    <w:rsid w:val="00690249"/>
    <w:rsid w:val="006902F5"/>
    <w:rsid w:val="006906A9"/>
    <w:rsid w:val="00691D1E"/>
    <w:rsid w:val="00691D39"/>
    <w:rsid w:val="006923FE"/>
    <w:rsid w:val="006927E6"/>
    <w:rsid w:val="00692AA7"/>
    <w:rsid w:val="00692B8A"/>
    <w:rsid w:val="00692CB0"/>
    <w:rsid w:val="0069372B"/>
    <w:rsid w:val="00693D6A"/>
    <w:rsid w:val="00693EB2"/>
    <w:rsid w:val="00693EF8"/>
    <w:rsid w:val="006940A2"/>
    <w:rsid w:val="00694BEA"/>
    <w:rsid w:val="00694D93"/>
    <w:rsid w:val="006953D4"/>
    <w:rsid w:val="0069581D"/>
    <w:rsid w:val="00695E83"/>
    <w:rsid w:val="00695EDD"/>
    <w:rsid w:val="006960D3"/>
    <w:rsid w:val="00696128"/>
    <w:rsid w:val="00696B1F"/>
    <w:rsid w:val="0069736B"/>
    <w:rsid w:val="00697B3D"/>
    <w:rsid w:val="006A0210"/>
    <w:rsid w:val="006A03CE"/>
    <w:rsid w:val="006A0A2A"/>
    <w:rsid w:val="006A0D37"/>
    <w:rsid w:val="006A0FFD"/>
    <w:rsid w:val="006A115E"/>
    <w:rsid w:val="006A194D"/>
    <w:rsid w:val="006A1999"/>
    <w:rsid w:val="006A1E3F"/>
    <w:rsid w:val="006A2316"/>
    <w:rsid w:val="006A239C"/>
    <w:rsid w:val="006A2904"/>
    <w:rsid w:val="006A2DF5"/>
    <w:rsid w:val="006A3AA6"/>
    <w:rsid w:val="006A3D78"/>
    <w:rsid w:val="006A4398"/>
    <w:rsid w:val="006A4895"/>
    <w:rsid w:val="006A48A3"/>
    <w:rsid w:val="006A4B19"/>
    <w:rsid w:val="006A4C65"/>
    <w:rsid w:val="006A4CE5"/>
    <w:rsid w:val="006A4DF4"/>
    <w:rsid w:val="006A51FC"/>
    <w:rsid w:val="006A59E2"/>
    <w:rsid w:val="006A5C95"/>
    <w:rsid w:val="006A612C"/>
    <w:rsid w:val="006A6789"/>
    <w:rsid w:val="006A6BE7"/>
    <w:rsid w:val="006A7218"/>
    <w:rsid w:val="006A74CD"/>
    <w:rsid w:val="006A7505"/>
    <w:rsid w:val="006A76F8"/>
    <w:rsid w:val="006A7896"/>
    <w:rsid w:val="006A78F4"/>
    <w:rsid w:val="006B02A6"/>
    <w:rsid w:val="006B0375"/>
    <w:rsid w:val="006B0841"/>
    <w:rsid w:val="006B090F"/>
    <w:rsid w:val="006B0EBB"/>
    <w:rsid w:val="006B10EA"/>
    <w:rsid w:val="006B1412"/>
    <w:rsid w:val="006B1B0D"/>
    <w:rsid w:val="006B1DEA"/>
    <w:rsid w:val="006B1E90"/>
    <w:rsid w:val="006B25A4"/>
    <w:rsid w:val="006B2EEF"/>
    <w:rsid w:val="006B3171"/>
    <w:rsid w:val="006B327D"/>
    <w:rsid w:val="006B3535"/>
    <w:rsid w:val="006B387E"/>
    <w:rsid w:val="006B3BCE"/>
    <w:rsid w:val="006B410D"/>
    <w:rsid w:val="006B43C3"/>
    <w:rsid w:val="006B449F"/>
    <w:rsid w:val="006B46B1"/>
    <w:rsid w:val="006B4AB8"/>
    <w:rsid w:val="006B4CA7"/>
    <w:rsid w:val="006B4FE7"/>
    <w:rsid w:val="006B5462"/>
    <w:rsid w:val="006B59A5"/>
    <w:rsid w:val="006B6400"/>
    <w:rsid w:val="006B64CB"/>
    <w:rsid w:val="006B6726"/>
    <w:rsid w:val="006B6845"/>
    <w:rsid w:val="006B7350"/>
    <w:rsid w:val="006B7733"/>
    <w:rsid w:val="006B79B2"/>
    <w:rsid w:val="006B7C9C"/>
    <w:rsid w:val="006C0029"/>
    <w:rsid w:val="006C01A1"/>
    <w:rsid w:val="006C030F"/>
    <w:rsid w:val="006C0C5B"/>
    <w:rsid w:val="006C0EE4"/>
    <w:rsid w:val="006C0FE0"/>
    <w:rsid w:val="006C1071"/>
    <w:rsid w:val="006C1151"/>
    <w:rsid w:val="006C13E4"/>
    <w:rsid w:val="006C1562"/>
    <w:rsid w:val="006C1AFA"/>
    <w:rsid w:val="006C274F"/>
    <w:rsid w:val="006C28CD"/>
    <w:rsid w:val="006C2A0D"/>
    <w:rsid w:val="006C2E1B"/>
    <w:rsid w:val="006C2ED9"/>
    <w:rsid w:val="006C3233"/>
    <w:rsid w:val="006C393B"/>
    <w:rsid w:val="006C4639"/>
    <w:rsid w:val="006C4B52"/>
    <w:rsid w:val="006C54A4"/>
    <w:rsid w:val="006C54E0"/>
    <w:rsid w:val="006C54F2"/>
    <w:rsid w:val="006C55D7"/>
    <w:rsid w:val="006C569B"/>
    <w:rsid w:val="006C5703"/>
    <w:rsid w:val="006C5988"/>
    <w:rsid w:val="006C5AC6"/>
    <w:rsid w:val="006C5DD4"/>
    <w:rsid w:val="006C649A"/>
    <w:rsid w:val="006C65C9"/>
    <w:rsid w:val="006C661C"/>
    <w:rsid w:val="006C6893"/>
    <w:rsid w:val="006C6D65"/>
    <w:rsid w:val="006C7026"/>
    <w:rsid w:val="006C70B1"/>
    <w:rsid w:val="006C74D1"/>
    <w:rsid w:val="006C7BDC"/>
    <w:rsid w:val="006C7D62"/>
    <w:rsid w:val="006C7E70"/>
    <w:rsid w:val="006C7FBE"/>
    <w:rsid w:val="006D01C0"/>
    <w:rsid w:val="006D0FD8"/>
    <w:rsid w:val="006D108C"/>
    <w:rsid w:val="006D10F7"/>
    <w:rsid w:val="006D11A1"/>
    <w:rsid w:val="006D1849"/>
    <w:rsid w:val="006D1E5E"/>
    <w:rsid w:val="006D2131"/>
    <w:rsid w:val="006D27AE"/>
    <w:rsid w:val="006D2808"/>
    <w:rsid w:val="006D2A55"/>
    <w:rsid w:val="006D2D2B"/>
    <w:rsid w:val="006D3012"/>
    <w:rsid w:val="006D342C"/>
    <w:rsid w:val="006D4143"/>
    <w:rsid w:val="006D4597"/>
    <w:rsid w:val="006D4733"/>
    <w:rsid w:val="006D4805"/>
    <w:rsid w:val="006D498A"/>
    <w:rsid w:val="006D52F0"/>
    <w:rsid w:val="006D57E6"/>
    <w:rsid w:val="006D58CE"/>
    <w:rsid w:val="006D5C7E"/>
    <w:rsid w:val="006D5CB5"/>
    <w:rsid w:val="006D5D8F"/>
    <w:rsid w:val="006D5F4D"/>
    <w:rsid w:val="006D5FF0"/>
    <w:rsid w:val="006D615B"/>
    <w:rsid w:val="006D6160"/>
    <w:rsid w:val="006D6C9B"/>
    <w:rsid w:val="006D6CEB"/>
    <w:rsid w:val="006D6D27"/>
    <w:rsid w:val="006D7622"/>
    <w:rsid w:val="006D76C0"/>
    <w:rsid w:val="006D7978"/>
    <w:rsid w:val="006E023C"/>
    <w:rsid w:val="006E0785"/>
    <w:rsid w:val="006E0A65"/>
    <w:rsid w:val="006E0CEB"/>
    <w:rsid w:val="006E148E"/>
    <w:rsid w:val="006E161B"/>
    <w:rsid w:val="006E16D0"/>
    <w:rsid w:val="006E173A"/>
    <w:rsid w:val="006E1A70"/>
    <w:rsid w:val="006E1DB1"/>
    <w:rsid w:val="006E1FBA"/>
    <w:rsid w:val="006E209B"/>
    <w:rsid w:val="006E2521"/>
    <w:rsid w:val="006E2771"/>
    <w:rsid w:val="006E29E9"/>
    <w:rsid w:val="006E33D1"/>
    <w:rsid w:val="006E3485"/>
    <w:rsid w:val="006E3B4C"/>
    <w:rsid w:val="006E3B76"/>
    <w:rsid w:val="006E3CF8"/>
    <w:rsid w:val="006E3DE5"/>
    <w:rsid w:val="006E405C"/>
    <w:rsid w:val="006E4289"/>
    <w:rsid w:val="006E4BAE"/>
    <w:rsid w:val="006E4CFF"/>
    <w:rsid w:val="006E4D3C"/>
    <w:rsid w:val="006E4F2A"/>
    <w:rsid w:val="006E51E6"/>
    <w:rsid w:val="006E63AB"/>
    <w:rsid w:val="006E658D"/>
    <w:rsid w:val="006E67D6"/>
    <w:rsid w:val="006E6E1C"/>
    <w:rsid w:val="006E6EA6"/>
    <w:rsid w:val="006E6F6D"/>
    <w:rsid w:val="006E72FC"/>
    <w:rsid w:val="006E7328"/>
    <w:rsid w:val="006E78FF"/>
    <w:rsid w:val="006F0343"/>
    <w:rsid w:val="006F03A5"/>
    <w:rsid w:val="006F0E06"/>
    <w:rsid w:val="006F1985"/>
    <w:rsid w:val="006F1FA7"/>
    <w:rsid w:val="006F2194"/>
    <w:rsid w:val="006F2410"/>
    <w:rsid w:val="006F27DB"/>
    <w:rsid w:val="006F2B3F"/>
    <w:rsid w:val="006F2B4C"/>
    <w:rsid w:val="006F3239"/>
    <w:rsid w:val="006F355C"/>
    <w:rsid w:val="006F35E4"/>
    <w:rsid w:val="006F3E5B"/>
    <w:rsid w:val="006F427E"/>
    <w:rsid w:val="006F446D"/>
    <w:rsid w:val="006F44B1"/>
    <w:rsid w:val="006F4565"/>
    <w:rsid w:val="006F4E22"/>
    <w:rsid w:val="006F5092"/>
    <w:rsid w:val="006F58D3"/>
    <w:rsid w:val="006F5F35"/>
    <w:rsid w:val="006F61A0"/>
    <w:rsid w:val="006F6E9C"/>
    <w:rsid w:val="006F712C"/>
    <w:rsid w:val="006F74D1"/>
    <w:rsid w:val="006F75DF"/>
    <w:rsid w:val="006F7879"/>
    <w:rsid w:val="006F797D"/>
    <w:rsid w:val="006F7E80"/>
    <w:rsid w:val="006F7F72"/>
    <w:rsid w:val="0070075D"/>
    <w:rsid w:val="007007EA"/>
    <w:rsid w:val="007008B1"/>
    <w:rsid w:val="00700E9B"/>
    <w:rsid w:val="00701071"/>
    <w:rsid w:val="00701ABD"/>
    <w:rsid w:val="00701E62"/>
    <w:rsid w:val="00701E9F"/>
    <w:rsid w:val="0070232C"/>
    <w:rsid w:val="007023A9"/>
    <w:rsid w:val="007028AB"/>
    <w:rsid w:val="00702C89"/>
    <w:rsid w:val="00702E2B"/>
    <w:rsid w:val="00702FB5"/>
    <w:rsid w:val="007032C6"/>
    <w:rsid w:val="0070356E"/>
    <w:rsid w:val="007035C9"/>
    <w:rsid w:val="007038B6"/>
    <w:rsid w:val="007039E4"/>
    <w:rsid w:val="00703BD4"/>
    <w:rsid w:val="00703D58"/>
    <w:rsid w:val="00703EDA"/>
    <w:rsid w:val="00703FB3"/>
    <w:rsid w:val="00704120"/>
    <w:rsid w:val="007044A6"/>
    <w:rsid w:val="0070465A"/>
    <w:rsid w:val="00704771"/>
    <w:rsid w:val="00704BB0"/>
    <w:rsid w:val="00704C5F"/>
    <w:rsid w:val="00705099"/>
    <w:rsid w:val="007050D9"/>
    <w:rsid w:val="00705108"/>
    <w:rsid w:val="007051C7"/>
    <w:rsid w:val="007054A9"/>
    <w:rsid w:val="00705A3C"/>
    <w:rsid w:val="00705B02"/>
    <w:rsid w:val="00705BE5"/>
    <w:rsid w:val="00705C43"/>
    <w:rsid w:val="00705D68"/>
    <w:rsid w:val="00705F30"/>
    <w:rsid w:val="00705F8E"/>
    <w:rsid w:val="00706A30"/>
    <w:rsid w:val="00706C89"/>
    <w:rsid w:val="00707263"/>
    <w:rsid w:val="00707CF1"/>
    <w:rsid w:val="007104E7"/>
    <w:rsid w:val="0071190F"/>
    <w:rsid w:val="00711AF5"/>
    <w:rsid w:val="00711BED"/>
    <w:rsid w:val="00711D27"/>
    <w:rsid w:val="00711D53"/>
    <w:rsid w:val="00712B2A"/>
    <w:rsid w:val="00712BB9"/>
    <w:rsid w:val="00712C0C"/>
    <w:rsid w:val="00712C91"/>
    <w:rsid w:val="00712E6C"/>
    <w:rsid w:val="0071304D"/>
    <w:rsid w:val="00713B46"/>
    <w:rsid w:val="00713DE1"/>
    <w:rsid w:val="00714209"/>
    <w:rsid w:val="00714248"/>
    <w:rsid w:val="0071436B"/>
    <w:rsid w:val="00714490"/>
    <w:rsid w:val="00714787"/>
    <w:rsid w:val="00715050"/>
    <w:rsid w:val="00715168"/>
    <w:rsid w:val="00715CA7"/>
    <w:rsid w:val="00715F69"/>
    <w:rsid w:val="0071625B"/>
    <w:rsid w:val="00716512"/>
    <w:rsid w:val="007165AE"/>
    <w:rsid w:val="00716B16"/>
    <w:rsid w:val="00716E36"/>
    <w:rsid w:val="007179A4"/>
    <w:rsid w:val="00720154"/>
    <w:rsid w:val="00720A7E"/>
    <w:rsid w:val="007211BE"/>
    <w:rsid w:val="00721B89"/>
    <w:rsid w:val="00721FB1"/>
    <w:rsid w:val="00722254"/>
    <w:rsid w:val="00722955"/>
    <w:rsid w:val="00723468"/>
    <w:rsid w:val="007235F9"/>
    <w:rsid w:val="00723648"/>
    <w:rsid w:val="00723737"/>
    <w:rsid w:val="00723B70"/>
    <w:rsid w:val="00723ECA"/>
    <w:rsid w:val="00723FA9"/>
    <w:rsid w:val="007242BA"/>
    <w:rsid w:val="0072471F"/>
    <w:rsid w:val="007249A8"/>
    <w:rsid w:val="00724ACF"/>
    <w:rsid w:val="00724B70"/>
    <w:rsid w:val="00724CA0"/>
    <w:rsid w:val="0072595A"/>
    <w:rsid w:val="00725F43"/>
    <w:rsid w:val="00726F52"/>
    <w:rsid w:val="00727350"/>
    <w:rsid w:val="00727560"/>
    <w:rsid w:val="00727839"/>
    <w:rsid w:val="00730170"/>
    <w:rsid w:val="0073092A"/>
    <w:rsid w:val="00730979"/>
    <w:rsid w:val="00730DB9"/>
    <w:rsid w:val="00730E55"/>
    <w:rsid w:val="00730F35"/>
    <w:rsid w:val="0073113C"/>
    <w:rsid w:val="00731AF8"/>
    <w:rsid w:val="00731BB5"/>
    <w:rsid w:val="00731DAF"/>
    <w:rsid w:val="007325B4"/>
    <w:rsid w:val="00732BBC"/>
    <w:rsid w:val="007337EF"/>
    <w:rsid w:val="00733FA5"/>
    <w:rsid w:val="007341DC"/>
    <w:rsid w:val="00734451"/>
    <w:rsid w:val="007346C4"/>
    <w:rsid w:val="00734CC7"/>
    <w:rsid w:val="00734F4D"/>
    <w:rsid w:val="00735420"/>
    <w:rsid w:val="00735811"/>
    <w:rsid w:val="00735ADC"/>
    <w:rsid w:val="00735C70"/>
    <w:rsid w:val="00735D88"/>
    <w:rsid w:val="00735DB0"/>
    <w:rsid w:val="00736767"/>
    <w:rsid w:val="00736F95"/>
    <w:rsid w:val="007372BA"/>
    <w:rsid w:val="007374B4"/>
    <w:rsid w:val="00737719"/>
    <w:rsid w:val="00737C5A"/>
    <w:rsid w:val="0074050D"/>
    <w:rsid w:val="00740BFF"/>
    <w:rsid w:val="0074160A"/>
    <w:rsid w:val="0074169A"/>
    <w:rsid w:val="007416BF"/>
    <w:rsid w:val="00741EDD"/>
    <w:rsid w:val="00741FD8"/>
    <w:rsid w:val="007420EB"/>
    <w:rsid w:val="00742B3E"/>
    <w:rsid w:val="00742D97"/>
    <w:rsid w:val="007431A7"/>
    <w:rsid w:val="00743254"/>
    <w:rsid w:val="00743630"/>
    <w:rsid w:val="00744AEC"/>
    <w:rsid w:val="00744BA5"/>
    <w:rsid w:val="00744E06"/>
    <w:rsid w:val="00745352"/>
    <w:rsid w:val="00745B86"/>
    <w:rsid w:val="0074652A"/>
    <w:rsid w:val="00746A4A"/>
    <w:rsid w:val="00746AB0"/>
    <w:rsid w:val="00746C25"/>
    <w:rsid w:val="00746CE1"/>
    <w:rsid w:val="00746FA8"/>
    <w:rsid w:val="0074711B"/>
    <w:rsid w:val="00747237"/>
    <w:rsid w:val="0074786B"/>
    <w:rsid w:val="00747A91"/>
    <w:rsid w:val="00747AF7"/>
    <w:rsid w:val="00747BBA"/>
    <w:rsid w:val="00747BD6"/>
    <w:rsid w:val="00747C32"/>
    <w:rsid w:val="00747E54"/>
    <w:rsid w:val="007504CE"/>
    <w:rsid w:val="007506FF"/>
    <w:rsid w:val="0075104E"/>
    <w:rsid w:val="007513CD"/>
    <w:rsid w:val="007513F3"/>
    <w:rsid w:val="00751E5C"/>
    <w:rsid w:val="0075202E"/>
    <w:rsid w:val="007522C1"/>
    <w:rsid w:val="007524B6"/>
    <w:rsid w:val="007525A8"/>
    <w:rsid w:val="0075328A"/>
    <w:rsid w:val="007532CF"/>
    <w:rsid w:val="0075384C"/>
    <w:rsid w:val="00753887"/>
    <w:rsid w:val="00753C8C"/>
    <w:rsid w:val="00754205"/>
    <w:rsid w:val="007545B7"/>
    <w:rsid w:val="007546B3"/>
    <w:rsid w:val="0075477F"/>
    <w:rsid w:val="00754856"/>
    <w:rsid w:val="00755B18"/>
    <w:rsid w:val="00756356"/>
    <w:rsid w:val="00756B7F"/>
    <w:rsid w:val="00756BBB"/>
    <w:rsid w:val="00756C64"/>
    <w:rsid w:val="007570C9"/>
    <w:rsid w:val="007572AA"/>
    <w:rsid w:val="007574B1"/>
    <w:rsid w:val="00757514"/>
    <w:rsid w:val="00757566"/>
    <w:rsid w:val="007577B4"/>
    <w:rsid w:val="00757AD5"/>
    <w:rsid w:val="00757C1A"/>
    <w:rsid w:val="007600F0"/>
    <w:rsid w:val="0076018D"/>
    <w:rsid w:val="0076070A"/>
    <w:rsid w:val="007608B7"/>
    <w:rsid w:val="00760A76"/>
    <w:rsid w:val="007610F7"/>
    <w:rsid w:val="007613CB"/>
    <w:rsid w:val="007614FF"/>
    <w:rsid w:val="00761B7E"/>
    <w:rsid w:val="00761E9A"/>
    <w:rsid w:val="00763239"/>
    <w:rsid w:val="00763587"/>
    <w:rsid w:val="00763612"/>
    <w:rsid w:val="00763BF1"/>
    <w:rsid w:val="00763C1B"/>
    <w:rsid w:val="00763F63"/>
    <w:rsid w:val="007644D0"/>
    <w:rsid w:val="00764802"/>
    <w:rsid w:val="00764B1A"/>
    <w:rsid w:val="00764B99"/>
    <w:rsid w:val="007650D4"/>
    <w:rsid w:val="00765755"/>
    <w:rsid w:val="00765F01"/>
    <w:rsid w:val="007661A9"/>
    <w:rsid w:val="007666AB"/>
    <w:rsid w:val="007668D1"/>
    <w:rsid w:val="00766C19"/>
    <w:rsid w:val="00766DB7"/>
    <w:rsid w:val="00767045"/>
    <w:rsid w:val="007672ED"/>
    <w:rsid w:val="00767753"/>
    <w:rsid w:val="00767D01"/>
    <w:rsid w:val="00767DD7"/>
    <w:rsid w:val="0077017B"/>
    <w:rsid w:val="0077023A"/>
    <w:rsid w:val="0077030F"/>
    <w:rsid w:val="0077049F"/>
    <w:rsid w:val="007709DB"/>
    <w:rsid w:val="00770A2C"/>
    <w:rsid w:val="007712BC"/>
    <w:rsid w:val="007712D5"/>
    <w:rsid w:val="007713E3"/>
    <w:rsid w:val="00771509"/>
    <w:rsid w:val="00771569"/>
    <w:rsid w:val="00771A1F"/>
    <w:rsid w:val="00771A45"/>
    <w:rsid w:val="00771B03"/>
    <w:rsid w:val="00771C56"/>
    <w:rsid w:val="007726A8"/>
    <w:rsid w:val="00772A6B"/>
    <w:rsid w:val="00772AA9"/>
    <w:rsid w:val="00772D04"/>
    <w:rsid w:val="00772E3A"/>
    <w:rsid w:val="00773337"/>
    <w:rsid w:val="007734A8"/>
    <w:rsid w:val="00773A8D"/>
    <w:rsid w:val="00774041"/>
    <w:rsid w:val="007742A1"/>
    <w:rsid w:val="00774494"/>
    <w:rsid w:val="0077463C"/>
    <w:rsid w:val="00774B5F"/>
    <w:rsid w:val="00775583"/>
    <w:rsid w:val="007755A5"/>
    <w:rsid w:val="007756A8"/>
    <w:rsid w:val="00775BED"/>
    <w:rsid w:val="007760C5"/>
    <w:rsid w:val="00776B92"/>
    <w:rsid w:val="007777A4"/>
    <w:rsid w:val="007777C9"/>
    <w:rsid w:val="00777AA7"/>
    <w:rsid w:val="00777B74"/>
    <w:rsid w:val="007809DF"/>
    <w:rsid w:val="00780A7F"/>
    <w:rsid w:val="00781067"/>
    <w:rsid w:val="007810EE"/>
    <w:rsid w:val="00781754"/>
    <w:rsid w:val="00781A03"/>
    <w:rsid w:val="00781D67"/>
    <w:rsid w:val="007825DD"/>
    <w:rsid w:val="0078260F"/>
    <w:rsid w:val="007828D2"/>
    <w:rsid w:val="00782D1F"/>
    <w:rsid w:val="00782DC7"/>
    <w:rsid w:val="00782E2E"/>
    <w:rsid w:val="00782F12"/>
    <w:rsid w:val="00782FAA"/>
    <w:rsid w:val="007834D5"/>
    <w:rsid w:val="00783806"/>
    <w:rsid w:val="007839A0"/>
    <w:rsid w:val="007839BC"/>
    <w:rsid w:val="00783BA4"/>
    <w:rsid w:val="00783EC7"/>
    <w:rsid w:val="007844B3"/>
    <w:rsid w:val="007844FE"/>
    <w:rsid w:val="00784831"/>
    <w:rsid w:val="0078506E"/>
    <w:rsid w:val="007851B6"/>
    <w:rsid w:val="00785574"/>
    <w:rsid w:val="00785A3D"/>
    <w:rsid w:val="00786137"/>
    <w:rsid w:val="00786336"/>
    <w:rsid w:val="00786D40"/>
    <w:rsid w:val="00787A39"/>
    <w:rsid w:val="00787C8A"/>
    <w:rsid w:val="00787CB9"/>
    <w:rsid w:val="00790459"/>
    <w:rsid w:val="0079069C"/>
    <w:rsid w:val="00790F14"/>
    <w:rsid w:val="00791774"/>
    <w:rsid w:val="00791977"/>
    <w:rsid w:val="00791C10"/>
    <w:rsid w:val="00792DE2"/>
    <w:rsid w:val="00792DFE"/>
    <w:rsid w:val="00792FD2"/>
    <w:rsid w:val="0079328D"/>
    <w:rsid w:val="00793C50"/>
    <w:rsid w:val="00793DA4"/>
    <w:rsid w:val="00793E01"/>
    <w:rsid w:val="00793E22"/>
    <w:rsid w:val="00794336"/>
    <w:rsid w:val="0079435C"/>
    <w:rsid w:val="00794487"/>
    <w:rsid w:val="0079498A"/>
    <w:rsid w:val="00794A4C"/>
    <w:rsid w:val="00794BAE"/>
    <w:rsid w:val="00794FCD"/>
    <w:rsid w:val="00795130"/>
    <w:rsid w:val="0079530D"/>
    <w:rsid w:val="00795523"/>
    <w:rsid w:val="00795715"/>
    <w:rsid w:val="00795865"/>
    <w:rsid w:val="00795B0C"/>
    <w:rsid w:val="00795FC6"/>
    <w:rsid w:val="00797B71"/>
    <w:rsid w:val="00797F24"/>
    <w:rsid w:val="007A0A0A"/>
    <w:rsid w:val="007A0F56"/>
    <w:rsid w:val="007A11D1"/>
    <w:rsid w:val="007A1889"/>
    <w:rsid w:val="007A2B81"/>
    <w:rsid w:val="007A31E3"/>
    <w:rsid w:val="007A32C9"/>
    <w:rsid w:val="007A335B"/>
    <w:rsid w:val="007A351A"/>
    <w:rsid w:val="007A35FA"/>
    <w:rsid w:val="007A36FF"/>
    <w:rsid w:val="007A3737"/>
    <w:rsid w:val="007A4D07"/>
    <w:rsid w:val="007A4FA8"/>
    <w:rsid w:val="007A4FAB"/>
    <w:rsid w:val="007A4FB9"/>
    <w:rsid w:val="007A566C"/>
    <w:rsid w:val="007A5A61"/>
    <w:rsid w:val="007A63E6"/>
    <w:rsid w:val="007A6567"/>
    <w:rsid w:val="007A69E8"/>
    <w:rsid w:val="007A6E82"/>
    <w:rsid w:val="007A7270"/>
    <w:rsid w:val="007A74C6"/>
    <w:rsid w:val="007A75E5"/>
    <w:rsid w:val="007A7A38"/>
    <w:rsid w:val="007A7E55"/>
    <w:rsid w:val="007B00BE"/>
    <w:rsid w:val="007B0135"/>
    <w:rsid w:val="007B049A"/>
    <w:rsid w:val="007B0AF0"/>
    <w:rsid w:val="007B18A1"/>
    <w:rsid w:val="007B19FB"/>
    <w:rsid w:val="007B1BC6"/>
    <w:rsid w:val="007B1F7D"/>
    <w:rsid w:val="007B2096"/>
    <w:rsid w:val="007B21A9"/>
    <w:rsid w:val="007B2770"/>
    <w:rsid w:val="007B284E"/>
    <w:rsid w:val="007B2B30"/>
    <w:rsid w:val="007B3071"/>
    <w:rsid w:val="007B30AD"/>
    <w:rsid w:val="007B31E4"/>
    <w:rsid w:val="007B3408"/>
    <w:rsid w:val="007B38C1"/>
    <w:rsid w:val="007B39CC"/>
    <w:rsid w:val="007B3CB3"/>
    <w:rsid w:val="007B3DB9"/>
    <w:rsid w:val="007B4219"/>
    <w:rsid w:val="007B4E8B"/>
    <w:rsid w:val="007B5225"/>
    <w:rsid w:val="007B5349"/>
    <w:rsid w:val="007B5409"/>
    <w:rsid w:val="007B564D"/>
    <w:rsid w:val="007B5791"/>
    <w:rsid w:val="007B5ED7"/>
    <w:rsid w:val="007B5F5A"/>
    <w:rsid w:val="007B6A9D"/>
    <w:rsid w:val="007B6DC7"/>
    <w:rsid w:val="007B731D"/>
    <w:rsid w:val="007B7564"/>
    <w:rsid w:val="007B7993"/>
    <w:rsid w:val="007B7B47"/>
    <w:rsid w:val="007B7DD7"/>
    <w:rsid w:val="007C0487"/>
    <w:rsid w:val="007C0509"/>
    <w:rsid w:val="007C08C6"/>
    <w:rsid w:val="007C159C"/>
    <w:rsid w:val="007C1882"/>
    <w:rsid w:val="007C1E4B"/>
    <w:rsid w:val="007C240A"/>
    <w:rsid w:val="007C2541"/>
    <w:rsid w:val="007C2719"/>
    <w:rsid w:val="007C28C6"/>
    <w:rsid w:val="007C2B57"/>
    <w:rsid w:val="007C2D91"/>
    <w:rsid w:val="007C2E3E"/>
    <w:rsid w:val="007C2ED6"/>
    <w:rsid w:val="007C393F"/>
    <w:rsid w:val="007C4227"/>
    <w:rsid w:val="007C45B5"/>
    <w:rsid w:val="007C52C9"/>
    <w:rsid w:val="007C559B"/>
    <w:rsid w:val="007C6AFE"/>
    <w:rsid w:val="007C6B84"/>
    <w:rsid w:val="007C6F63"/>
    <w:rsid w:val="007C7B25"/>
    <w:rsid w:val="007C7CA1"/>
    <w:rsid w:val="007D0689"/>
    <w:rsid w:val="007D081E"/>
    <w:rsid w:val="007D0847"/>
    <w:rsid w:val="007D0A3E"/>
    <w:rsid w:val="007D10D3"/>
    <w:rsid w:val="007D15A9"/>
    <w:rsid w:val="007D19F0"/>
    <w:rsid w:val="007D2D2C"/>
    <w:rsid w:val="007D323F"/>
    <w:rsid w:val="007D3CF7"/>
    <w:rsid w:val="007D406B"/>
    <w:rsid w:val="007D40BF"/>
    <w:rsid w:val="007D4385"/>
    <w:rsid w:val="007D4A45"/>
    <w:rsid w:val="007D53C6"/>
    <w:rsid w:val="007D584E"/>
    <w:rsid w:val="007D59E1"/>
    <w:rsid w:val="007D6280"/>
    <w:rsid w:val="007D6789"/>
    <w:rsid w:val="007D6877"/>
    <w:rsid w:val="007D68F0"/>
    <w:rsid w:val="007D6A7D"/>
    <w:rsid w:val="007D6D50"/>
    <w:rsid w:val="007D715A"/>
    <w:rsid w:val="007D745D"/>
    <w:rsid w:val="007E08D1"/>
    <w:rsid w:val="007E1BFB"/>
    <w:rsid w:val="007E1E1E"/>
    <w:rsid w:val="007E2301"/>
    <w:rsid w:val="007E254C"/>
    <w:rsid w:val="007E2608"/>
    <w:rsid w:val="007E2612"/>
    <w:rsid w:val="007E2B9B"/>
    <w:rsid w:val="007E335C"/>
    <w:rsid w:val="007E3453"/>
    <w:rsid w:val="007E3B5C"/>
    <w:rsid w:val="007E3C5B"/>
    <w:rsid w:val="007E401B"/>
    <w:rsid w:val="007E415A"/>
    <w:rsid w:val="007E49A5"/>
    <w:rsid w:val="007E4DC4"/>
    <w:rsid w:val="007E4DDE"/>
    <w:rsid w:val="007E5209"/>
    <w:rsid w:val="007E52B5"/>
    <w:rsid w:val="007E549C"/>
    <w:rsid w:val="007E555B"/>
    <w:rsid w:val="007E5954"/>
    <w:rsid w:val="007E5CD6"/>
    <w:rsid w:val="007E64D1"/>
    <w:rsid w:val="007E67BD"/>
    <w:rsid w:val="007E6AAC"/>
    <w:rsid w:val="007E6BB1"/>
    <w:rsid w:val="007E6C80"/>
    <w:rsid w:val="007E7406"/>
    <w:rsid w:val="007F007C"/>
    <w:rsid w:val="007F024B"/>
    <w:rsid w:val="007F0827"/>
    <w:rsid w:val="007F0874"/>
    <w:rsid w:val="007F09B8"/>
    <w:rsid w:val="007F0A80"/>
    <w:rsid w:val="007F0BA6"/>
    <w:rsid w:val="007F10B1"/>
    <w:rsid w:val="007F125B"/>
    <w:rsid w:val="007F1375"/>
    <w:rsid w:val="007F1814"/>
    <w:rsid w:val="007F3038"/>
    <w:rsid w:val="007F3230"/>
    <w:rsid w:val="007F36C1"/>
    <w:rsid w:val="007F3E06"/>
    <w:rsid w:val="007F4439"/>
    <w:rsid w:val="007F465A"/>
    <w:rsid w:val="007F4E88"/>
    <w:rsid w:val="007F5162"/>
    <w:rsid w:val="007F5D60"/>
    <w:rsid w:val="007F5DE3"/>
    <w:rsid w:val="007F5FA8"/>
    <w:rsid w:val="007F60C0"/>
    <w:rsid w:val="007F651C"/>
    <w:rsid w:val="007F652E"/>
    <w:rsid w:val="007F65B6"/>
    <w:rsid w:val="007F679B"/>
    <w:rsid w:val="007F685C"/>
    <w:rsid w:val="007F6925"/>
    <w:rsid w:val="007F71B8"/>
    <w:rsid w:val="007F7B01"/>
    <w:rsid w:val="007F7C07"/>
    <w:rsid w:val="0080047A"/>
    <w:rsid w:val="00800AC0"/>
    <w:rsid w:val="00800C7F"/>
    <w:rsid w:val="00801356"/>
    <w:rsid w:val="008015FD"/>
    <w:rsid w:val="00801C45"/>
    <w:rsid w:val="00801CB8"/>
    <w:rsid w:val="00801D0F"/>
    <w:rsid w:val="00801E34"/>
    <w:rsid w:val="00802056"/>
    <w:rsid w:val="0080268D"/>
    <w:rsid w:val="00802770"/>
    <w:rsid w:val="00802D8A"/>
    <w:rsid w:val="00803352"/>
    <w:rsid w:val="00803DA3"/>
    <w:rsid w:val="00803F82"/>
    <w:rsid w:val="00804323"/>
    <w:rsid w:val="0080446F"/>
    <w:rsid w:val="00804543"/>
    <w:rsid w:val="00804762"/>
    <w:rsid w:val="00804E09"/>
    <w:rsid w:val="00804E4A"/>
    <w:rsid w:val="00805AE9"/>
    <w:rsid w:val="00805B07"/>
    <w:rsid w:val="00806452"/>
    <w:rsid w:val="00806651"/>
    <w:rsid w:val="00806FA7"/>
    <w:rsid w:val="00807018"/>
    <w:rsid w:val="00807981"/>
    <w:rsid w:val="00807DBB"/>
    <w:rsid w:val="008103D9"/>
    <w:rsid w:val="00810683"/>
    <w:rsid w:val="00811067"/>
    <w:rsid w:val="0081189D"/>
    <w:rsid w:val="00812491"/>
    <w:rsid w:val="00812FB0"/>
    <w:rsid w:val="00813318"/>
    <w:rsid w:val="0081338F"/>
    <w:rsid w:val="00813947"/>
    <w:rsid w:val="00813D18"/>
    <w:rsid w:val="00813D86"/>
    <w:rsid w:val="00814200"/>
    <w:rsid w:val="00815053"/>
    <w:rsid w:val="00815898"/>
    <w:rsid w:val="008159A0"/>
    <w:rsid w:val="00815EB3"/>
    <w:rsid w:val="00816037"/>
    <w:rsid w:val="0081618C"/>
    <w:rsid w:val="008175D6"/>
    <w:rsid w:val="00817B06"/>
    <w:rsid w:val="00817D43"/>
    <w:rsid w:val="008203CC"/>
    <w:rsid w:val="00821200"/>
    <w:rsid w:val="0082123C"/>
    <w:rsid w:val="00821B70"/>
    <w:rsid w:val="0082211B"/>
    <w:rsid w:val="008221CF"/>
    <w:rsid w:val="0082245B"/>
    <w:rsid w:val="0082255D"/>
    <w:rsid w:val="008226D5"/>
    <w:rsid w:val="00822CB8"/>
    <w:rsid w:val="0082351D"/>
    <w:rsid w:val="00823AA1"/>
    <w:rsid w:val="00823C74"/>
    <w:rsid w:val="00824EA1"/>
    <w:rsid w:val="008251E7"/>
    <w:rsid w:val="0082543A"/>
    <w:rsid w:val="0082564B"/>
    <w:rsid w:val="00825B7C"/>
    <w:rsid w:val="0082608D"/>
    <w:rsid w:val="008263B5"/>
    <w:rsid w:val="008265E4"/>
    <w:rsid w:val="00826A75"/>
    <w:rsid w:val="00826F5C"/>
    <w:rsid w:val="00827494"/>
    <w:rsid w:val="00827759"/>
    <w:rsid w:val="00827883"/>
    <w:rsid w:val="00827B50"/>
    <w:rsid w:val="00827B6C"/>
    <w:rsid w:val="00827C40"/>
    <w:rsid w:val="00827F7C"/>
    <w:rsid w:val="00830C57"/>
    <w:rsid w:val="00830DE4"/>
    <w:rsid w:val="00830E54"/>
    <w:rsid w:val="008313B5"/>
    <w:rsid w:val="00831CE2"/>
    <w:rsid w:val="00831F35"/>
    <w:rsid w:val="008322C1"/>
    <w:rsid w:val="00832544"/>
    <w:rsid w:val="00832CDA"/>
    <w:rsid w:val="00832EDD"/>
    <w:rsid w:val="0083390C"/>
    <w:rsid w:val="00833CBC"/>
    <w:rsid w:val="0083400F"/>
    <w:rsid w:val="00834583"/>
    <w:rsid w:val="008345D9"/>
    <w:rsid w:val="008347FE"/>
    <w:rsid w:val="00834809"/>
    <w:rsid w:val="00834976"/>
    <w:rsid w:val="00834BFA"/>
    <w:rsid w:val="0083502B"/>
    <w:rsid w:val="00835507"/>
    <w:rsid w:val="008357E6"/>
    <w:rsid w:val="00835AEB"/>
    <w:rsid w:val="008361C0"/>
    <w:rsid w:val="0083639A"/>
    <w:rsid w:val="008363D3"/>
    <w:rsid w:val="00836643"/>
    <w:rsid w:val="00836AC6"/>
    <w:rsid w:val="00836B48"/>
    <w:rsid w:val="0083717B"/>
    <w:rsid w:val="00837635"/>
    <w:rsid w:val="00837695"/>
    <w:rsid w:val="00837717"/>
    <w:rsid w:val="0083774D"/>
    <w:rsid w:val="008377B9"/>
    <w:rsid w:val="008377C5"/>
    <w:rsid w:val="00837DC7"/>
    <w:rsid w:val="00837EA8"/>
    <w:rsid w:val="00841235"/>
    <w:rsid w:val="0084319A"/>
    <w:rsid w:val="008435D8"/>
    <w:rsid w:val="008437A7"/>
    <w:rsid w:val="00843A87"/>
    <w:rsid w:val="00843E15"/>
    <w:rsid w:val="00843F4A"/>
    <w:rsid w:val="00843FEF"/>
    <w:rsid w:val="00844157"/>
    <w:rsid w:val="00844840"/>
    <w:rsid w:val="00844BC9"/>
    <w:rsid w:val="00844C02"/>
    <w:rsid w:val="00844EC6"/>
    <w:rsid w:val="00845196"/>
    <w:rsid w:val="00845312"/>
    <w:rsid w:val="0084552A"/>
    <w:rsid w:val="008457B2"/>
    <w:rsid w:val="00845898"/>
    <w:rsid w:val="008459A1"/>
    <w:rsid w:val="008465BA"/>
    <w:rsid w:val="0084724F"/>
    <w:rsid w:val="00847595"/>
    <w:rsid w:val="008479BB"/>
    <w:rsid w:val="00850769"/>
    <w:rsid w:val="00850F39"/>
    <w:rsid w:val="00850F80"/>
    <w:rsid w:val="00850FA9"/>
    <w:rsid w:val="008513E7"/>
    <w:rsid w:val="00851816"/>
    <w:rsid w:val="00851917"/>
    <w:rsid w:val="00851B01"/>
    <w:rsid w:val="008520BB"/>
    <w:rsid w:val="0085232F"/>
    <w:rsid w:val="00852411"/>
    <w:rsid w:val="008528C6"/>
    <w:rsid w:val="00852F46"/>
    <w:rsid w:val="008532B8"/>
    <w:rsid w:val="008536A4"/>
    <w:rsid w:val="0085387C"/>
    <w:rsid w:val="00854BB3"/>
    <w:rsid w:val="00854D5C"/>
    <w:rsid w:val="00854DFC"/>
    <w:rsid w:val="008550EA"/>
    <w:rsid w:val="00855CB7"/>
    <w:rsid w:val="00855F3A"/>
    <w:rsid w:val="00856CAE"/>
    <w:rsid w:val="00856F08"/>
    <w:rsid w:val="0085731B"/>
    <w:rsid w:val="008575DE"/>
    <w:rsid w:val="008578EA"/>
    <w:rsid w:val="00857922"/>
    <w:rsid w:val="00857FDC"/>
    <w:rsid w:val="00860015"/>
    <w:rsid w:val="008608CB"/>
    <w:rsid w:val="00860A0A"/>
    <w:rsid w:val="00860C66"/>
    <w:rsid w:val="00860C75"/>
    <w:rsid w:val="00861021"/>
    <w:rsid w:val="008612D1"/>
    <w:rsid w:val="00861964"/>
    <w:rsid w:val="00861B2C"/>
    <w:rsid w:val="00861F9E"/>
    <w:rsid w:val="00862184"/>
    <w:rsid w:val="00862559"/>
    <w:rsid w:val="00862AA6"/>
    <w:rsid w:val="008631FF"/>
    <w:rsid w:val="0086323F"/>
    <w:rsid w:val="008635EE"/>
    <w:rsid w:val="00864194"/>
    <w:rsid w:val="0086436D"/>
    <w:rsid w:val="00864B32"/>
    <w:rsid w:val="008650A4"/>
    <w:rsid w:val="008651E7"/>
    <w:rsid w:val="00865CDC"/>
    <w:rsid w:val="00865F3E"/>
    <w:rsid w:val="00865F68"/>
    <w:rsid w:val="00865F73"/>
    <w:rsid w:val="00866115"/>
    <w:rsid w:val="00866220"/>
    <w:rsid w:val="008662F5"/>
    <w:rsid w:val="00866647"/>
    <w:rsid w:val="00866A2A"/>
    <w:rsid w:val="00866F71"/>
    <w:rsid w:val="00867010"/>
    <w:rsid w:val="008673C7"/>
    <w:rsid w:val="00867405"/>
    <w:rsid w:val="00867A57"/>
    <w:rsid w:val="0087022F"/>
    <w:rsid w:val="008707B8"/>
    <w:rsid w:val="008707D6"/>
    <w:rsid w:val="00870BED"/>
    <w:rsid w:val="00871695"/>
    <w:rsid w:val="00871754"/>
    <w:rsid w:val="0087195F"/>
    <w:rsid w:val="00871B65"/>
    <w:rsid w:val="00871F98"/>
    <w:rsid w:val="00872438"/>
    <w:rsid w:val="00872466"/>
    <w:rsid w:val="008725F4"/>
    <w:rsid w:val="00872A1C"/>
    <w:rsid w:val="00872B0D"/>
    <w:rsid w:val="00872E67"/>
    <w:rsid w:val="00872ED6"/>
    <w:rsid w:val="0087340B"/>
    <w:rsid w:val="008735B3"/>
    <w:rsid w:val="00873825"/>
    <w:rsid w:val="008739FC"/>
    <w:rsid w:val="00873DE1"/>
    <w:rsid w:val="00873E50"/>
    <w:rsid w:val="00874C8C"/>
    <w:rsid w:val="00874DFB"/>
    <w:rsid w:val="0087538F"/>
    <w:rsid w:val="008753BA"/>
    <w:rsid w:val="00875926"/>
    <w:rsid w:val="0087669B"/>
    <w:rsid w:val="00876A98"/>
    <w:rsid w:val="00876BDE"/>
    <w:rsid w:val="00876C2B"/>
    <w:rsid w:val="00876EBD"/>
    <w:rsid w:val="00876EE8"/>
    <w:rsid w:val="00877458"/>
    <w:rsid w:val="008776D6"/>
    <w:rsid w:val="00877808"/>
    <w:rsid w:val="0087790F"/>
    <w:rsid w:val="00877915"/>
    <w:rsid w:val="0088029B"/>
    <w:rsid w:val="00880BEE"/>
    <w:rsid w:val="00880F40"/>
    <w:rsid w:val="00880F86"/>
    <w:rsid w:val="0088109D"/>
    <w:rsid w:val="008816B4"/>
    <w:rsid w:val="008817CC"/>
    <w:rsid w:val="0088198A"/>
    <w:rsid w:val="00881F0F"/>
    <w:rsid w:val="008828C9"/>
    <w:rsid w:val="008829C9"/>
    <w:rsid w:val="008839C5"/>
    <w:rsid w:val="00883F0D"/>
    <w:rsid w:val="00884418"/>
    <w:rsid w:val="0088489F"/>
    <w:rsid w:val="008853FF"/>
    <w:rsid w:val="0088558B"/>
    <w:rsid w:val="00885668"/>
    <w:rsid w:val="00885764"/>
    <w:rsid w:val="008858AF"/>
    <w:rsid w:val="0088652E"/>
    <w:rsid w:val="008868F2"/>
    <w:rsid w:val="008871D3"/>
    <w:rsid w:val="0088734B"/>
    <w:rsid w:val="0088784F"/>
    <w:rsid w:val="00887B8A"/>
    <w:rsid w:val="0089047C"/>
    <w:rsid w:val="0089054B"/>
    <w:rsid w:val="0089077D"/>
    <w:rsid w:val="0089089B"/>
    <w:rsid w:val="00890C35"/>
    <w:rsid w:val="00890C48"/>
    <w:rsid w:val="00890DA6"/>
    <w:rsid w:val="00891933"/>
    <w:rsid w:val="00891A16"/>
    <w:rsid w:val="00891A59"/>
    <w:rsid w:val="00892005"/>
    <w:rsid w:val="008927E2"/>
    <w:rsid w:val="00892DEE"/>
    <w:rsid w:val="00893084"/>
    <w:rsid w:val="0089330A"/>
    <w:rsid w:val="00893431"/>
    <w:rsid w:val="00893B3E"/>
    <w:rsid w:val="00893C87"/>
    <w:rsid w:val="00894D60"/>
    <w:rsid w:val="00894F45"/>
    <w:rsid w:val="00895036"/>
    <w:rsid w:val="00895173"/>
    <w:rsid w:val="00895827"/>
    <w:rsid w:val="00895883"/>
    <w:rsid w:val="0089651B"/>
    <w:rsid w:val="00896533"/>
    <w:rsid w:val="008967E8"/>
    <w:rsid w:val="00896D58"/>
    <w:rsid w:val="00897162"/>
    <w:rsid w:val="00897CF5"/>
    <w:rsid w:val="008A02AD"/>
    <w:rsid w:val="008A046E"/>
    <w:rsid w:val="008A09AD"/>
    <w:rsid w:val="008A09BE"/>
    <w:rsid w:val="008A09ED"/>
    <w:rsid w:val="008A0AAC"/>
    <w:rsid w:val="008A0AAE"/>
    <w:rsid w:val="008A0C90"/>
    <w:rsid w:val="008A0DC2"/>
    <w:rsid w:val="008A0FB5"/>
    <w:rsid w:val="008A1A02"/>
    <w:rsid w:val="008A1E1F"/>
    <w:rsid w:val="008A1F1F"/>
    <w:rsid w:val="008A22B8"/>
    <w:rsid w:val="008A2657"/>
    <w:rsid w:val="008A2AAD"/>
    <w:rsid w:val="008A2B80"/>
    <w:rsid w:val="008A3580"/>
    <w:rsid w:val="008A3D2F"/>
    <w:rsid w:val="008A414C"/>
    <w:rsid w:val="008A43CE"/>
    <w:rsid w:val="008A4738"/>
    <w:rsid w:val="008A4C2F"/>
    <w:rsid w:val="008A566F"/>
    <w:rsid w:val="008A56B9"/>
    <w:rsid w:val="008A5ACB"/>
    <w:rsid w:val="008A5B82"/>
    <w:rsid w:val="008A5D4B"/>
    <w:rsid w:val="008A5DA3"/>
    <w:rsid w:val="008A6199"/>
    <w:rsid w:val="008A6244"/>
    <w:rsid w:val="008A7EA0"/>
    <w:rsid w:val="008A7FC6"/>
    <w:rsid w:val="008B05E7"/>
    <w:rsid w:val="008B061D"/>
    <w:rsid w:val="008B0DB1"/>
    <w:rsid w:val="008B0F5E"/>
    <w:rsid w:val="008B145C"/>
    <w:rsid w:val="008B1B9D"/>
    <w:rsid w:val="008B1F62"/>
    <w:rsid w:val="008B2191"/>
    <w:rsid w:val="008B28DB"/>
    <w:rsid w:val="008B325D"/>
    <w:rsid w:val="008B3400"/>
    <w:rsid w:val="008B379B"/>
    <w:rsid w:val="008B3C28"/>
    <w:rsid w:val="008B3D0C"/>
    <w:rsid w:val="008B3D4A"/>
    <w:rsid w:val="008B47AC"/>
    <w:rsid w:val="008B47E9"/>
    <w:rsid w:val="008B4E25"/>
    <w:rsid w:val="008B5301"/>
    <w:rsid w:val="008B5589"/>
    <w:rsid w:val="008B578A"/>
    <w:rsid w:val="008B57AC"/>
    <w:rsid w:val="008B5F1D"/>
    <w:rsid w:val="008B6080"/>
    <w:rsid w:val="008B684E"/>
    <w:rsid w:val="008B685E"/>
    <w:rsid w:val="008B68B4"/>
    <w:rsid w:val="008B7B67"/>
    <w:rsid w:val="008B7B84"/>
    <w:rsid w:val="008C08CC"/>
    <w:rsid w:val="008C0B31"/>
    <w:rsid w:val="008C0C2D"/>
    <w:rsid w:val="008C11F5"/>
    <w:rsid w:val="008C156B"/>
    <w:rsid w:val="008C177B"/>
    <w:rsid w:val="008C17CC"/>
    <w:rsid w:val="008C232A"/>
    <w:rsid w:val="008C2369"/>
    <w:rsid w:val="008C26B3"/>
    <w:rsid w:val="008C2A67"/>
    <w:rsid w:val="008C2D78"/>
    <w:rsid w:val="008C3BE8"/>
    <w:rsid w:val="008C3D57"/>
    <w:rsid w:val="008C4137"/>
    <w:rsid w:val="008C47A9"/>
    <w:rsid w:val="008C4C61"/>
    <w:rsid w:val="008C5C32"/>
    <w:rsid w:val="008C6202"/>
    <w:rsid w:val="008C6944"/>
    <w:rsid w:val="008C785A"/>
    <w:rsid w:val="008D012E"/>
    <w:rsid w:val="008D1028"/>
    <w:rsid w:val="008D1033"/>
    <w:rsid w:val="008D1057"/>
    <w:rsid w:val="008D124C"/>
    <w:rsid w:val="008D17F2"/>
    <w:rsid w:val="008D1822"/>
    <w:rsid w:val="008D1842"/>
    <w:rsid w:val="008D18B5"/>
    <w:rsid w:val="008D1A35"/>
    <w:rsid w:val="008D281F"/>
    <w:rsid w:val="008D2883"/>
    <w:rsid w:val="008D2E46"/>
    <w:rsid w:val="008D2F9D"/>
    <w:rsid w:val="008D2FDF"/>
    <w:rsid w:val="008D33B0"/>
    <w:rsid w:val="008D3562"/>
    <w:rsid w:val="008D3782"/>
    <w:rsid w:val="008D39E2"/>
    <w:rsid w:val="008D404A"/>
    <w:rsid w:val="008D42B0"/>
    <w:rsid w:val="008D471C"/>
    <w:rsid w:val="008D4C03"/>
    <w:rsid w:val="008D57B8"/>
    <w:rsid w:val="008D5A22"/>
    <w:rsid w:val="008D64FB"/>
    <w:rsid w:val="008D67A6"/>
    <w:rsid w:val="008D6922"/>
    <w:rsid w:val="008D6B7A"/>
    <w:rsid w:val="008D6B9C"/>
    <w:rsid w:val="008D6E2D"/>
    <w:rsid w:val="008D6FCE"/>
    <w:rsid w:val="008D7D39"/>
    <w:rsid w:val="008D7EB4"/>
    <w:rsid w:val="008D7FC8"/>
    <w:rsid w:val="008E00CE"/>
    <w:rsid w:val="008E0296"/>
    <w:rsid w:val="008E03E3"/>
    <w:rsid w:val="008E05E1"/>
    <w:rsid w:val="008E0B75"/>
    <w:rsid w:val="008E0C56"/>
    <w:rsid w:val="008E0E2D"/>
    <w:rsid w:val="008E1B85"/>
    <w:rsid w:val="008E260C"/>
    <w:rsid w:val="008E2B39"/>
    <w:rsid w:val="008E2BD0"/>
    <w:rsid w:val="008E2FC8"/>
    <w:rsid w:val="008E2FD4"/>
    <w:rsid w:val="008E307E"/>
    <w:rsid w:val="008E35B7"/>
    <w:rsid w:val="008E3667"/>
    <w:rsid w:val="008E3912"/>
    <w:rsid w:val="008E3A97"/>
    <w:rsid w:val="008E3B75"/>
    <w:rsid w:val="008E3B8D"/>
    <w:rsid w:val="008E3F31"/>
    <w:rsid w:val="008E45EA"/>
    <w:rsid w:val="008E4B7F"/>
    <w:rsid w:val="008E50F4"/>
    <w:rsid w:val="008E5914"/>
    <w:rsid w:val="008E5F2B"/>
    <w:rsid w:val="008E5F45"/>
    <w:rsid w:val="008E63B0"/>
    <w:rsid w:val="008E63DC"/>
    <w:rsid w:val="008E66E6"/>
    <w:rsid w:val="008E6BB2"/>
    <w:rsid w:val="008E6D1A"/>
    <w:rsid w:val="008E6D66"/>
    <w:rsid w:val="008E6EA3"/>
    <w:rsid w:val="008E77AA"/>
    <w:rsid w:val="008E7F7D"/>
    <w:rsid w:val="008F0467"/>
    <w:rsid w:val="008F04EB"/>
    <w:rsid w:val="008F0EB4"/>
    <w:rsid w:val="008F164C"/>
    <w:rsid w:val="008F167A"/>
    <w:rsid w:val="008F1B1B"/>
    <w:rsid w:val="008F1DF7"/>
    <w:rsid w:val="008F224A"/>
    <w:rsid w:val="008F22EB"/>
    <w:rsid w:val="008F241A"/>
    <w:rsid w:val="008F2423"/>
    <w:rsid w:val="008F259F"/>
    <w:rsid w:val="008F26AD"/>
    <w:rsid w:val="008F2A79"/>
    <w:rsid w:val="008F35CC"/>
    <w:rsid w:val="008F3A54"/>
    <w:rsid w:val="008F3BDE"/>
    <w:rsid w:val="008F4726"/>
    <w:rsid w:val="008F572A"/>
    <w:rsid w:val="008F5B62"/>
    <w:rsid w:val="008F5BFD"/>
    <w:rsid w:val="008F5C50"/>
    <w:rsid w:val="008F62A0"/>
    <w:rsid w:val="008F662E"/>
    <w:rsid w:val="008F6684"/>
    <w:rsid w:val="008F67C9"/>
    <w:rsid w:val="008F69D5"/>
    <w:rsid w:val="008F6A10"/>
    <w:rsid w:val="008F6A15"/>
    <w:rsid w:val="008F6AA2"/>
    <w:rsid w:val="008F70D4"/>
    <w:rsid w:val="008F7C75"/>
    <w:rsid w:val="00900646"/>
    <w:rsid w:val="0090106B"/>
    <w:rsid w:val="00901695"/>
    <w:rsid w:val="009019DE"/>
    <w:rsid w:val="00901A38"/>
    <w:rsid w:val="00901B10"/>
    <w:rsid w:val="00901BE4"/>
    <w:rsid w:val="00901D9F"/>
    <w:rsid w:val="00902402"/>
    <w:rsid w:val="009026F8"/>
    <w:rsid w:val="009027D9"/>
    <w:rsid w:val="00902C1B"/>
    <w:rsid w:val="00902E04"/>
    <w:rsid w:val="00903233"/>
    <w:rsid w:val="00903985"/>
    <w:rsid w:val="00903FB4"/>
    <w:rsid w:val="009042CF"/>
    <w:rsid w:val="00904662"/>
    <w:rsid w:val="0090499A"/>
    <w:rsid w:val="00904AA5"/>
    <w:rsid w:val="00904BE6"/>
    <w:rsid w:val="00904BE7"/>
    <w:rsid w:val="00905BFE"/>
    <w:rsid w:val="00905CE0"/>
    <w:rsid w:val="00905FDC"/>
    <w:rsid w:val="00906404"/>
    <w:rsid w:val="0090640D"/>
    <w:rsid w:val="00906C41"/>
    <w:rsid w:val="00907053"/>
    <w:rsid w:val="00907321"/>
    <w:rsid w:val="00907D16"/>
    <w:rsid w:val="00907F67"/>
    <w:rsid w:val="009100B7"/>
    <w:rsid w:val="0091010B"/>
    <w:rsid w:val="009109E4"/>
    <w:rsid w:val="00910B22"/>
    <w:rsid w:val="00910E65"/>
    <w:rsid w:val="009110AB"/>
    <w:rsid w:val="00911729"/>
    <w:rsid w:val="00911AF3"/>
    <w:rsid w:val="00911EED"/>
    <w:rsid w:val="00912297"/>
    <w:rsid w:val="0091262C"/>
    <w:rsid w:val="0091267C"/>
    <w:rsid w:val="009126D6"/>
    <w:rsid w:val="00912938"/>
    <w:rsid w:val="009135CB"/>
    <w:rsid w:val="00913A21"/>
    <w:rsid w:val="00913B0F"/>
    <w:rsid w:val="009142E6"/>
    <w:rsid w:val="00914A01"/>
    <w:rsid w:val="0091508A"/>
    <w:rsid w:val="009152E8"/>
    <w:rsid w:val="009154E5"/>
    <w:rsid w:val="009155E5"/>
    <w:rsid w:val="00915BBE"/>
    <w:rsid w:val="00915FD3"/>
    <w:rsid w:val="00916285"/>
    <w:rsid w:val="00916F9F"/>
    <w:rsid w:val="009170F6"/>
    <w:rsid w:val="0091713E"/>
    <w:rsid w:val="00917255"/>
    <w:rsid w:val="00917A29"/>
    <w:rsid w:val="00917DD1"/>
    <w:rsid w:val="009200E7"/>
    <w:rsid w:val="00920BB9"/>
    <w:rsid w:val="00920FAE"/>
    <w:rsid w:val="009213F1"/>
    <w:rsid w:val="009214D1"/>
    <w:rsid w:val="009218A1"/>
    <w:rsid w:val="009219AC"/>
    <w:rsid w:val="00921BAF"/>
    <w:rsid w:val="00922062"/>
    <w:rsid w:val="009221F3"/>
    <w:rsid w:val="009226A5"/>
    <w:rsid w:val="00922B5A"/>
    <w:rsid w:val="00923ACE"/>
    <w:rsid w:val="00923C8E"/>
    <w:rsid w:val="009241C6"/>
    <w:rsid w:val="009241D8"/>
    <w:rsid w:val="0092480A"/>
    <w:rsid w:val="009248A3"/>
    <w:rsid w:val="00924CFF"/>
    <w:rsid w:val="00924F65"/>
    <w:rsid w:val="00925896"/>
    <w:rsid w:val="00926D32"/>
    <w:rsid w:val="00927258"/>
    <w:rsid w:val="0092740D"/>
    <w:rsid w:val="00927529"/>
    <w:rsid w:val="00927D8F"/>
    <w:rsid w:val="00927F54"/>
    <w:rsid w:val="00930324"/>
    <w:rsid w:val="009303A1"/>
    <w:rsid w:val="009307C5"/>
    <w:rsid w:val="00930EDB"/>
    <w:rsid w:val="00931040"/>
    <w:rsid w:val="00931452"/>
    <w:rsid w:val="00931802"/>
    <w:rsid w:val="00931C52"/>
    <w:rsid w:val="00931D0A"/>
    <w:rsid w:val="00932122"/>
    <w:rsid w:val="00932B8B"/>
    <w:rsid w:val="00933065"/>
    <w:rsid w:val="009333E0"/>
    <w:rsid w:val="0093358D"/>
    <w:rsid w:val="009337F9"/>
    <w:rsid w:val="00933DFD"/>
    <w:rsid w:val="009347A5"/>
    <w:rsid w:val="0093486A"/>
    <w:rsid w:val="00934E74"/>
    <w:rsid w:val="0093502D"/>
    <w:rsid w:val="00935128"/>
    <w:rsid w:val="00935318"/>
    <w:rsid w:val="009358B4"/>
    <w:rsid w:val="00935BA6"/>
    <w:rsid w:val="00935D37"/>
    <w:rsid w:val="009362D3"/>
    <w:rsid w:val="00936342"/>
    <w:rsid w:val="00936E75"/>
    <w:rsid w:val="00937470"/>
    <w:rsid w:val="009374EE"/>
    <w:rsid w:val="009375BD"/>
    <w:rsid w:val="0093771C"/>
    <w:rsid w:val="00937A09"/>
    <w:rsid w:val="00937B38"/>
    <w:rsid w:val="00937C5B"/>
    <w:rsid w:val="0094012A"/>
    <w:rsid w:val="00940197"/>
    <w:rsid w:val="009401D0"/>
    <w:rsid w:val="00940365"/>
    <w:rsid w:val="00940C55"/>
    <w:rsid w:val="00940FCA"/>
    <w:rsid w:val="00941068"/>
    <w:rsid w:val="00941769"/>
    <w:rsid w:val="00941839"/>
    <w:rsid w:val="0094247C"/>
    <w:rsid w:val="0094255D"/>
    <w:rsid w:val="009425BF"/>
    <w:rsid w:val="00942A46"/>
    <w:rsid w:val="00942F67"/>
    <w:rsid w:val="009430B1"/>
    <w:rsid w:val="0094313A"/>
    <w:rsid w:val="009435D6"/>
    <w:rsid w:val="009435D8"/>
    <w:rsid w:val="00943812"/>
    <w:rsid w:val="00943DA1"/>
    <w:rsid w:val="00943FD7"/>
    <w:rsid w:val="0094414E"/>
    <w:rsid w:val="009443EF"/>
    <w:rsid w:val="009444CA"/>
    <w:rsid w:val="00944CBF"/>
    <w:rsid w:val="009457F4"/>
    <w:rsid w:val="009459A6"/>
    <w:rsid w:val="0094636F"/>
    <w:rsid w:val="009464E0"/>
    <w:rsid w:val="00946992"/>
    <w:rsid w:val="00946C69"/>
    <w:rsid w:val="00946CDE"/>
    <w:rsid w:val="00946F4B"/>
    <w:rsid w:val="0094709E"/>
    <w:rsid w:val="00947101"/>
    <w:rsid w:val="009472A3"/>
    <w:rsid w:val="00947314"/>
    <w:rsid w:val="0094771A"/>
    <w:rsid w:val="00947F7F"/>
    <w:rsid w:val="009506BB"/>
    <w:rsid w:val="00950B67"/>
    <w:rsid w:val="00951493"/>
    <w:rsid w:val="0095163D"/>
    <w:rsid w:val="00951A71"/>
    <w:rsid w:val="00951B10"/>
    <w:rsid w:val="00951E92"/>
    <w:rsid w:val="00951EF7"/>
    <w:rsid w:val="00951F53"/>
    <w:rsid w:val="0095233E"/>
    <w:rsid w:val="00952A2F"/>
    <w:rsid w:val="00952E96"/>
    <w:rsid w:val="00953D41"/>
    <w:rsid w:val="0095473C"/>
    <w:rsid w:val="009549D3"/>
    <w:rsid w:val="00954C93"/>
    <w:rsid w:val="00955C2F"/>
    <w:rsid w:val="00955DFA"/>
    <w:rsid w:val="00955FCD"/>
    <w:rsid w:val="00956162"/>
    <w:rsid w:val="0095678B"/>
    <w:rsid w:val="00956C8A"/>
    <w:rsid w:val="00956EB8"/>
    <w:rsid w:val="00956EE6"/>
    <w:rsid w:val="0095702D"/>
    <w:rsid w:val="009600B4"/>
    <w:rsid w:val="00960433"/>
    <w:rsid w:val="009608FB"/>
    <w:rsid w:val="009609CF"/>
    <w:rsid w:val="009613E8"/>
    <w:rsid w:val="00961CD1"/>
    <w:rsid w:val="00961FF0"/>
    <w:rsid w:val="00962196"/>
    <w:rsid w:val="00962323"/>
    <w:rsid w:val="009626BA"/>
    <w:rsid w:val="00962D13"/>
    <w:rsid w:val="00962EF0"/>
    <w:rsid w:val="00963082"/>
    <w:rsid w:val="0096342F"/>
    <w:rsid w:val="009634C4"/>
    <w:rsid w:val="00963785"/>
    <w:rsid w:val="00963995"/>
    <w:rsid w:val="00963A21"/>
    <w:rsid w:val="009643BF"/>
    <w:rsid w:val="0096482D"/>
    <w:rsid w:val="00964A34"/>
    <w:rsid w:val="00964E9C"/>
    <w:rsid w:val="00964F66"/>
    <w:rsid w:val="00965741"/>
    <w:rsid w:val="0096597E"/>
    <w:rsid w:val="00965AEB"/>
    <w:rsid w:val="00965B08"/>
    <w:rsid w:val="00965D8E"/>
    <w:rsid w:val="00965E8B"/>
    <w:rsid w:val="00966492"/>
    <w:rsid w:val="00966AC7"/>
    <w:rsid w:val="00966CFA"/>
    <w:rsid w:val="00966E87"/>
    <w:rsid w:val="009671CE"/>
    <w:rsid w:val="009674C9"/>
    <w:rsid w:val="00967B69"/>
    <w:rsid w:val="00967E06"/>
    <w:rsid w:val="00967F56"/>
    <w:rsid w:val="0097049D"/>
    <w:rsid w:val="0097058B"/>
    <w:rsid w:val="0097080F"/>
    <w:rsid w:val="00970D5A"/>
    <w:rsid w:val="0097118E"/>
    <w:rsid w:val="0097135A"/>
    <w:rsid w:val="0097140E"/>
    <w:rsid w:val="00971569"/>
    <w:rsid w:val="009716AA"/>
    <w:rsid w:val="00971B32"/>
    <w:rsid w:val="00971F2A"/>
    <w:rsid w:val="0097212F"/>
    <w:rsid w:val="0097214D"/>
    <w:rsid w:val="00972218"/>
    <w:rsid w:val="00972227"/>
    <w:rsid w:val="00972B30"/>
    <w:rsid w:val="00972F22"/>
    <w:rsid w:val="00973085"/>
    <w:rsid w:val="00973961"/>
    <w:rsid w:val="0097398A"/>
    <w:rsid w:val="00973A2E"/>
    <w:rsid w:val="009740EB"/>
    <w:rsid w:val="00974196"/>
    <w:rsid w:val="0097427C"/>
    <w:rsid w:val="00974332"/>
    <w:rsid w:val="0097477C"/>
    <w:rsid w:val="00974992"/>
    <w:rsid w:val="00975131"/>
    <w:rsid w:val="009753CA"/>
    <w:rsid w:val="0097552F"/>
    <w:rsid w:val="00975C34"/>
    <w:rsid w:val="00975C84"/>
    <w:rsid w:val="00975C8A"/>
    <w:rsid w:val="00975CFD"/>
    <w:rsid w:val="00975DB5"/>
    <w:rsid w:val="00975ED9"/>
    <w:rsid w:val="00976181"/>
    <w:rsid w:val="009761CB"/>
    <w:rsid w:val="00976417"/>
    <w:rsid w:val="0097689E"/>
    <w:rsid w:val="009768A8"/>
    <w:rsid w:val="00976AEB"/>
    <w:rsid w:val="00977174"/>
    <w:rsid w:val="00977623"/>
    <w:rsid w:val="00977B1F"/>
    <w:rsid w:val="0098069F"/>
    <w:rsid w:val="00980D5E"/>
    <w:rsid w:val="00980FBB"/>
    <w:rsid w:val="00981070"/>
    <w:rsid w:val="00981594"/>
    <w:rsid w:val="0098163C"/>
    <w:rsid w:val="00981899"/>
    <w:rsid w:val="0098196E"/>
    <w:rsid w:val="00981EB3"/>
    <w:rsid w:val="00981EDF"/>
    <w:rsid w:val="00982447"/>
    <w:rsid w:val="0098284F"/>
    <w:rsid w:val="00983705"/>
    <w:rsid w:val="0098399B"/>
    <w:rsid w:val="00983D3A"/>
    <w:rsid w:val="00984316"/>
    <w:rsid w:val="00984A76"/>
    <w:rsid w:val="00984BF4"/>
    <w:rsid w:val="00984D42"/>
    <w:rsid w:val="00985903"/>
    <w:rsid w:val="00985A0E"/>
    <w:rsid w:val="00985C6A"/>
    <w:rsid w:val="00985D53"/>
    <w:rsid w:val="009863D2"/>
    <w:rsid w:val="0098688C"/>
    <w:rsid w:val="009871D4"/>
    <w:rsid w:val="0098725F"/>
    <w:rsid w:val="0098726A"/>
    <w:rsid w:val="00987958"/>
    <w:rsid w:val="00990228"/>
    <w:rsid w:val="0099058B"/>
    <w:rsid w:val="00991047"/>
    <w:rsid w:val="0099107D"/>
    <w:rsid w:val="009915C6"/>
    <w:rsid w:val="00991BB1"/>
    <w:rsid w:val="00991DF2"/>
    <w:rsid w:val="00991FDB"/>
    <w:rsid w:val="00992159"/>
    <w:rsid w:val="009921E3"/>
    <w:rsid w:val="00992445"/>
    <w:rsid w:val="00992599"/>
    <w:rsid w:val="009925B8"/>
    <w:rsid w:val="009927D3"/>
    <w:rsid w:val="00992A8B"/>
    <w:rsid w:val="00992BC6"/>
    <w:rsid w:val="00992CA3"/>
    <w:rsid w:val="00992F4F"/>
    <w:rsid w:val="00993FCF"/>
    <w:rsid w:val="0099401B"/>
    <w:rsid w:val="009943B9"/>
    <w:rsid w:val="00994A9A"/>
    <w:rsid w:val="00995584"/>
    <w:rsid w:val="0099566F"/>
    <w:rsid w:val="00995BA9"/>
    <w:rsid w:val="00996390"/>
    <w:rsid w:val="009965F5"/>
    <w:rsid w:val="00996B22"/>
    <w:rsid w:val="009979F4"/>
    <w:rsid w:val="00997E8D"/>
    <w:rsid w:val="00997ECC"/>
    <w:rsid w:val="009A027D"/>
    <w:rsid w:val="009A0865"/>
    <w:rsid w:val="009A08F2"/>
    <w:rsid w:val="009A0E6B"/>
    <w:rsid w:val="009A1631"/>
    <w:rsid w:val="009A182B"/>
    <w:rsid w:val="009A1B11"/>
    <w:rsid w:val="009A1B38"/>
    <w:rsid w:val="009A1ED6"/>
    <w:rsid w:val="009A2488"/>
    <w:rsid w:val="009A2496"/>
    <w:rsid w:val="009A2ACC"/>
    <w:rsid w:val="009A2CEB"/>
    <w:rsid w:val="009A3BAC"/>
    <w:rsid w:val="009A40E9"/>
    <w:rsid w:val="009A413F"/>
    <w:rsid w:val="009A43BC"/>
    <w:rsid w:val="009A4630"/>
    <w:rsid w:val="009A46E8"/>
    <w:rsid w:val="009A48C0"/>
    <w:rsid w:val="009A4BD4"/>
    <w:rsid w:val="009A4C1A"/>
    <w:rsid w:val="009A545A"/>
    <w:rsid w:val="009A56D9"/>
    <w:rsid w:val="009A5844"/>
    <w:rsid w:val="009A6DF2"/>
    <w:rsid w:val="009A6EC2"/>
    <w:rsid w:val="009A7019"/>
    <w:rsid w:val="009A7487"/>
    <w:rsid w:val="009A77F1"/>
    <w:rsid w:val="009A7F6B"/>
    <w:rsid w:val="009B0032"/>
    <w:rsid w:val="009B0284"/>
    <w:rsid w:val="009B0379"/>
    <w:rsid w:val="009B0778"/>
    <w:rsid w:val="009B0949"/>
    <w:rsid w:val="009B0F4E"/>
    <w:rsid w:val="009B0FE3"/>
    <w:rsid w:val="009B14B9"/>
    <w:rsid w:val="009B2066"/>
    <w:rsid w:val="009B21DC"/>
    <w:rsid w:val="009B2356"/>
    <w:rsid w:val="009B274F"/>
    <w:rsid w:val="009B275C"/>
    <w:rsid w:val="009B2CE6"/>
    <w:rsid w:val="009B2E2E"/>
    <w:rsid w:val="009B33DD"/>
    <w:rsid w:val="009B3433"/>
    <w:rsid w:val="009B35C9"/>
    <w:rsid w:val="009B37D1"/>
    <w:rsid w:val="009B3D88"/>
    <w:rsid w:val="009B4092"/>
    <w:rsid w:val="009B40EF"/>
    <w:rsid w:val="009B4BBB"/>
    <w:rsid w:val="009B4E0E"/>
    <w:rsid w:val="009B4EBF"/>
    <w:rsid w:val="009B51D8"/>
    <w:rsid w:val="009B5EFA"/>
    <w:rsid w:val="009B6439"/>
    <w:rsid w:val="009B6AE0"/>
    <w:rsid w:val="009B6C82"/>
    <w:rsid w:val="009B6C9F"/>
    <w:rsid w:val="009B6FC6"/>
    <w:rsid w:val="009B6FD5"/>
    <w:rsid w:val="009B7822"/>
    <w:rsid w:val="009B791A"/>
    <w:rsid w:val="009B7B7D"/>
    <w:rsid w:val="009B7CD0"/>
    <w:rsid w:val="009B7E8B"/>
    <w:rsid w:val="009C081B"/>
    <w:rsid w:val="009C0831"/>
    <w:rsid w:val="009C0872"/>
    <w:rsid w:val="009C0F61"/>
    <w:rsid w:val="009C12B6"/>
    <w:rsid w:val="009C17F9"/>
    <w:rsid w:val="009C1AC7"/>
    <w:rsid w:val="009C288D"/>
    <w:rsid w:val="009C2927"/>
    <w:rsid w:val="009C29CE"/>
    <w:rsid w:val="009C302B"/>
    <w:rsid w:val="009C3251"/>
    <w:rsid w:val="009C3299"/>
    <w:rsid w:val="009C380B"/>
    <w:rsid w:val="009C386B"/>
    <w:rsid w:val="009C39D6"/>
    <w:rsid w:val="009C4238"/>
    <w:rsid w:val="009C4461"/>
    <w:rsid w:val="009C4626"/>
    <w:rsid w:val="009C47D5"/>
    <w:rsid w:val="009C48BD"/>
    <w:rsid w:val="009C4EDA"/>
    <w:rsid w:val="009C502D"/>
    <w:rsid w:val="009C53E0"/>
    <w:rsid w:val="009C5656"/>
    <w:rsid w:val="009C56CE"/>
    <w:rsid w:val="009C5A34"/>
    <w:rsid w:val="009C632E"/>
    <w:rsid w:val="009C69DA"/>
    <w:rsid w:val="009C7636"/>
    <w:rsid w:val="009C7A17"/>
    <w:rsid w:val="009C7C2C"/>
    <w:rsid w:val="009D00A1"/>
    <w:rsid w:val="009D00B0"/>
    <w:rsid w:val="009D0594"/>
    <w:rsid w:val="009D0721"/>
    <w:rsid w:val="009D09A1"/>
    <w:rsid w:val="009D09F9"/>
    <w:rsid w:val="009D0B8D"/>
    <w:rsid w:val="009D1218"/>
    <w:rsid w:val="009D1517"/>
    <w:rsid w:val="009D21E2"/>
    <w:rsid w:val="009D2938"/>
    <w:rsid w:val="009D2E40"/>
    <w:rsid w:val="009D2F3A"/>
    <w:rsid w:val="009D344B"/>
    <w:rsid w:val="009D3945"/>
    <w:rsid w:val="009D3E92"/>
    <w:rsid w:val="009D41C1"/>
    <w:rsid w:val="009D42E7"/>
    <w:rsid w:val="009D44A7"/>
    <w:rsid w:val="009D46A9"/>
    <w:rsid w:val="009D4875"/>
    <w:rsid w:val="009D4B0F"/>
    <w:rsid w:val="009D4B28"/>
    <w:rsid w:val="009D4D4A"/>
    <w:rsid w:val="009D4DE6"/>
    <w:rsid w:val="009D4FB3"/>
    <w:rsid w:val="009D5017"/>
    <w:rsid w:val="009D5171"/>
    <w:rsid w:val="009D57CC"/>
    <w:rsid w:val="009D5AA6"/>
    <w:rsid w:val="009D5FE4"/>
    <w:rsid w:val="009D61C8"/>
    <w:rsid w:val="009D63CE"/>
    <w:rsid w:val="009D6AE2"/>
    <w:rsid w:val="009D6BE8"/>
    <w:rsid w:val="009D6C84"/>
    <w:rsid w:val="009D7866"/>
    <w:rsid w:val="009D79FC"/>
    <w:rsid w:val="009D7C5F"/>
    <w:rsid w:val="009D7D2E"/>
    <w:rsid w:val="009D7D8A"/>
    <w:rsid w:val="009E0006"/>
    <w:rsid w:val="009E038E"/>
    <w:rsid w:val="009E0738"/>
    <w:rsid w:val="009E0D48"/>
    <w:rsid w:val="009E1006"/>
    <w:rsid w:val="009E11B3"/>
    <w:rsid w:val="009E121E"/>
    <w:rsid w:val="009E1741"/>
    <w:rsid w:val="009E1A58"/>
    <w:rsid w:val="009E1FB8"/>
    <w:rsid w:val="009E207E"/>
    <w:rsid w:val="009E24CA"/>
    <w:rsid w:val="009E2B1F"/>
    <w:rsid w:val="009E2D08"/>
    <w:rsid w:val="009E303F"/>
    <w:rsid w:val="009E3AAC"/>
    <w:rsid w:val="009E4146"/>
    <w:rsid w:val="009E4B36"/>
    <w:rsid w:val="009E4B4F"/>
    <w:rsid w:val="009E4E3C"/>
    <w:rsid w:val="009E53CC"/>
    <w:rsid w:val="009E5950"/>
    <w:rsid w:val="009E59E5"/>
    <w:rsid w:val="009E5FA6"/>
    <w:rsid w:val="009E5FC6"/>
    <w:rsid w:val="009E6291"/>
    <w:rsid w:val="009E6350"/>
    <w:rsid w:val="009E6A4E"/>
    <w:rsid w:val="009E6B36"/>
    <w:rsid w:val="009E714B"/>
    <w:rsid w:val="009E7885"/>
    <w:rsid w:val="009E7A58"/>
    <w:rsid w:val="009F0C19"/>
    <w:rsid w:val="009F145D"/>
    <w:rsid w:val="009F177B"/>
    <w:rsid w:val="009F18DA"/>
    <w:rsid w:val="009F1937"/>
    <w:rsid w:val="009F2692"/>
    <w:rsid w:val="009F29A1"/>
    <w:rsid w:val="009F3185"/>
    <w:rsid w:val="009F3194"/>
    <w:rsid w:val="009F31BD"/>
    <w:rsid w:val="009F36F1"/>
    <w:rsid w:val="009F3B54"/>
    <w:rsid w:val="009F3BD5"/>
    <w:rsid w:val="009F4366"/>
    <w:rsid w:val="009F4AD6"/>
    <w:rsid w:val="009F4E90"/>
    <w:rsid w:val="009F52BE"/>
    <w:rsid w:val="009F536C"/>
    <w:rsid w:val="009F53FA"/>
    <w:rsid w:val="009F58D6"/>
    <w:rsid w:val="009F5D5D"/>
    <w:rsid w:val="009F5DEC"/>
    <w:rsid w:val="009F6066"/>
    <w:rsid w:val="009F61F1"/>
    <w:rsid w:val="009F622B"/>
    <w:rsid w:val="009F7584"/>
    <w:rsid w:val="009F7629"/>
    <w:rsid w:val="009F7BAC"/>
    <w:rsid w:val="009F7C8D"/>
    <w:rsid w:val="009F7DDA"/>
    <w:rsid w:val="009F7E0A"/>
    <w:rsid w:val="009F7F35"/>
    <w:rsid w:val="00A00333"/>
    <w:rsid w:val="00A00D0E"/>
    <w:rsid w:val="00A00F55"/>
    <w:rsid w:val="00A012F1"/>
    <w:rsid w:val="00A01EAE"/>
    <w:rsid w:val="00A02996"/>
    <w:rsid w:val="00A029A5"/>
    <w:rsid w:val="00A02A87"/>
    <w:rsid w:val="00A02F4A"/>
    <w:rsid w:val="00A03782"/>
    <w:rsid w:val="00A037B8"/>
    <w:rsid w:val="00A03EC5"/>
    <w:rsid w:val="00A0416F"/>
    <w:rsid w:val="00A042D0"/>
    <w:rsid w:val="00A04402"/>
    <w:rsid w:val="00A04580"/>
    <w:rsid w:val="00A0463D"/>
    <w:rsid w:val="00A04C54"/>
    <w:rsid w:val="00A05255"/>
    <w:rsid w:val="00A05483"/>
    <w:rsid w:val="00A0554C"/>
    <w:rsid w:val="00A0589C"/>
    <w:rsid w:val="00A06241"/>
    <w:rsid w:val="00A06693"/>
    <w:rsid w:val="00A06835"/>
    <w:rsid w:val="00A0703D"/>
    <w:rsid w:val="00A07453"/>
    <w:rsid w:val="00A079C0"/>
    <w:rsid w:val="00A07B72"/>
    <w:rsid w:val="00A07C5F"/>
    <w:rsid w:val="00A1048D"/>
    <w:rsid w:val="00A106AF"/>
    <w:rsid w:val="00A10719"/>
    <w:rsid w:val="00A10736"/>
    <w:rsid w:val="00A109BC"/>
    <w:rsid w:val="00A10D73"/>
    <w:rsid w:val="00A10F38"/>
    <w:rsid w:val="00A11044"/>
    <w:rsid w:val="00A111AC"/>
    <w:rsid w:val="00A11869"/>
    <w:rsid w:val="00A11DE8"/>
    <w:rsid w:val="00A11DF1"/>
    <w:rsid w:val="00A11ECB"/>
    <w:rsid w:val="00A126C5"/>
    <w:rsid w:val="00A1326B"/>
    <w:rsid w:val="00A1366D"/>
    <w:rsid w:val="00A1388B"/>
    <w:rsid w:val="00A1445D"/>
    <w:rsid w:val="00A14899"/>
    <w:rsid w:val="00A149F8"/>
    <w:rsid w:val="00A14A61"/>
    <w:rsid w:val="00A14DA1"/>
    <w:rsid w:val="00A1531E"/>
    <w:rsid w:val="00A15D3F"/>
    <w:rsid w:val="00A1648E"/>
    <w:rsid w:val="00A1703A"/>
    <w:rsid w:val="00A1756B"/>
    <w:rsid w:val="00A177F2"/>
    <w:rsid w:val="00A2059D"/>
    <w:rsid w:val="00A207DB"/>
    <w:rsid w:val="00A207EC"/>
    <w:rsid w:val="00A21097"/>
    <w:rsid w:val="00A210E3"/>
    <w:rsid w:val="00A21514"/>
    <w:rsid w:val="00A21B51"/>
    <w:rsid w:val="00A21D38"/>
    <w:rsid w:val="00A22363"/>
    <w:rsid w:val="00A22D4C"/>
    <w:rsid w:val="00A2334A"/>
    <w:rsid w:val="00A23561"/>
    <w:rsid w:val="00A23A63"/>
    <w:rsid w:val="00A23EAA"/>
    <w:rsid w:val="00A23EAE"/>
    <w:rsid w:val="00A23F83"/>
    <w:rsid w:val="00A240F6"/>
    <w:rsid w:val="00A24575"/>
    <w:rsid w:val="00A2496C"/>
    <w:rsid w:val="00A24A1C"/>
    <w:rsid w:val="00A25567"/>
    <w:rsid w:val="00A257E6"/>
    <w:rsid w:val="00A25830"/>
    <w:rsid w:val="00A259BC"/>
    <w:rsid w:val="00A25E57"/>
    <w:rsid w:val="00A267B1"/>
    <w:rsid w:val="00A27283"/>
    <w:rsid w:val="00A27288"/>
    <w:rsid w:val="00A273A4"/>
    <w:rsid w:val="00A27421"/>
    <w:rsid w:val="00A274F6"/>
    <w:rsid w:val="00A275E8"/>
    <w:rsid w:val="00A27A91"/>
    <w:rsid w:val="00A27DEF"/>
    <w:rsid w:val="00A27F97"/>
    <w:rsid w:val="00A301D9"/>
    <w:rsid w:val="00A306A7"/>
    <w:rsid w:val="00A30C5D"/>
    <w:rsid w:val="00A3122E"/>
    <w:rsid w:val="00A314C1"/>
    <w:rsid w:val="00A314F6"/>
    <w:rsid w:val="00A31A85"/>
    <w:rsid w:val="00A32ADD"/>
    <w:rsid w:val="00A32D7D"/>
    <w:rsid w:val="00A32F4F"/>
    <w:rsid w:val="00A330F2"/>
    <w:rsid w:val="00A335C3"/>
    <w:rsid w:val="00A33B16"/>
    <w:rsid w:val="00A33B74"/>
    <w:rsid w:val="00A343FD"/>
    <w:rsid w:val="00A3464A"/>
    <w:rsid w:val="00A34758"/>
    <w:rsid w:val="00A348C3"/>
    <w:rsid w:val="00A34C69"/>
    <w:rsid w:val="00A34F3F"/>
    <w:rsid w:val="00A3545F"/>
    <w:rsid w:val="00A3552A"/>
    <w:rsid w:val="00A357F8"/>
    <w:rsid w:val="00A35CFA"/>
    <w:rsid w:val="00A35D47"/>
    <w:rsid w:val="00A36AFC"/>
    <w:rsid w:val="00A36B78"/>
    <w:rsid w:val="00A36C21"/>
    <w:rsid w:val="00A37380"/>
    <w:rsid w:val="00A37422"/>
    <w:rsid w:val="00A37467"/>
    <w:rsid w:val="00A37583"/>
    <w:rsid w:val="00A37B3E"/>
    <w:rsid w:val="00A37D32"/>
    <w:rsid w:val="00A400F9"/>
    <w:rsid w:val="00A4010B"/>
    <w:rsid w:val="00A40282"/>
    <w:rsid w:val="00A40318"/>
    <w:rsid w:val="00A40A6C"/>
    <w:rsid w:val="00A40F9E"/>
    <w:rsid w:val="00A416E9"/>
    <w:rsid w:val="00A41AFA"/>
    <w:rsid w:val="00A427CC"/>
    <w:rsid w:val="00A42A44"/>
    <w:rsid w:val="00A42E08"/>
    <w:rsid w:val="00A43375"/>
    <w:rsid w:val="00A43A5E"/>
    <w:rsid w:val="00A43ADA"/>
    <w:rsid w:val="00A442C1"/>
    <w:rsid w:val="00A44633"/>
    <w:rsid w:val="00A44A0C"/>
    <w:rsid w:val="00A44B6E"/>
    <w:rsid w:val="00A44CEC"/>
    <w:rsid w:val="00A44E44"/>
    <w:rsid w:val="00A44F3E"/>
    <w:rsid w:val="00A45432"/>
    <w:rsid w:val="00A45483"/>
    <w:rsid w:val="00A4593C"/>
    <w:rsid w:val="00A45DDF"/>
    <w:rsid w:val="00A46107"/>
    <w:rsid w:val="00A46CE9"/>
    <w:rsid w:val="00A470CC"/>
    <w:rsid w:val="00A472BD"/>
    <w:rsid w:val="00A50677"/>
    <w:rsid w:val="00A50DF4"/>
    <w:rsid w:val="00A51187"/>
    <w:rsid w:val="00A51227"/>
    <w:rsid w:val="00A51DAB"/>
    <w:rsid w:val="00A51ED3"/>
    <w:rsid w:val="00A51FFA"/>
    <w:rsid w:val="00A523EC"/>
    <w:rsid w:val="00A526F9"/>
    <w:rsid w:val="00A52E16"/>
    <w:rsid w:val="00A5315D"/>
    <w:rsid w:val="00A532A2"/>
    <w:rsid w:val="00A53703"/>
    <w:rsid w:val="00A537DF"/>
    <w:rsid w:val="00A53868"/>
    <w:rsid w:val="00A538C1"/>
    <w:rsid w:val="00A53D02"/>
    <w:rsid w:val="00A53D4E"/>
    <w:rsid w:val="00A53D87"/>
    <w:rsid w:val="00A5426E"/>
    <w:rsid w:val="00A546A9"/>
    <w:rsid w:val="00A54796"/>
    <w:rsid w:val="00A5501A"/>
    <w:rsid w:val="00A55291"/>
    <w:rsid w:val="00A5536E"/>
    <w:rsid w:val="00A554B1"/>
    <w:rsid w:val="00A558C9"/>
    <w:rsid w:val="00A55983"/>
    <w:rsid w:val="00A55AC6"/>
    <w:rsid w:val="00A56133"/>
    <w:rsid w:val="00A567C3"/>
    <w:rsid w:val="00A56A6D"/>
    <w:rsid w:val="00A56C5C"/>
    <w:rsid w:val="00A56DC2"/>
    <w:rsid w:val="00A56E15"/>
    <w:rsid w:val="00A5785B"/>
    <w:rsid w:val="00A57918"/>
    <w:rsid w:val="00A57E0E"/>
    <w:rsid w:val="00A6005E"/>
    <w:rsid w:val="00A60584"/>
    <w:rsid w:val="00A60952"/>
    <w:rsid w:val="00A60C09"/>
    <w:rsid w:val="00A6133E"/>
    <w:rsid w:val="00A61779"/>
    <w:rsid w:val="00A62065"/>
    <w:rsid w:val="00A622CF"/>
    <w:rsid w:val="00A62958"/>
    <w:rsid w:val="00A63068"/>
    <w:rsid w:val="00A633AC"/>
    <w:rsid w:val="00A639AC"/>
    <w:rsid w:val="00A63D4B"/>
    <w:rsid w:val="00A64A4E"/>
    <w:rsid w:val="00A653B3"/>
    <w:rsid w:val="00A65950"/>
    <w:rsid w:val="00A65CB9"/>
    <w:rsid w:val="00A65DEC"/>
    <w:rsid w:val="00A6704F"/>
    <w:rsid w:val="00A677FB"/>
    <w:rsid w:val="00A67874"/>
    <w:rsid w:val="00A67E71"/>
    <w:rsid w:val="00A7070F"/>
    <w:rsid w:val="00A7073C"/>
    <w:rsid w:val="00A707AE"/>
    <w:rsid w:val="00A70B42"/>
    <w:rsid w:val="00A70FA8"/>
    <w:rsid w:val="00A71048"/>
    <w:rsid w:val="00A71C50"/>
    <w:rsid w:val="00A724DC"/>
    <w:rsid w:val="00A72767"/>
    <w:rsid w:val="00A72E16"/>
    <w:rsid w:val="00A73491"/>
    <w:rsid w:val="00A73896"/>
    <w:rsid w:val="00A7392B"/>
    <w:rsid w:val="00A74222"/>
    <w:rsid w:val="00A74374"/>
    <w:rsid w:val="00A743EC"/>
    <w:rsid w:val="00A74C5B"/>
    <w:rsid w:val="00A74CE7"/>
    <w:rsid w:val="00A74D02"/>
    <w:rsid w:val="00A7559B"/>
    <w:rsid w:val="00A7646C"/>
    <w:rsid w:val="00A76522"/>
    <w:rsid w:val="00A76DE9"/>
    <w:rsid w:val="00A77A05"/>
    <w:rsid w:val="00A77C60"/>
    <w:rsid w:val="00A800EF"/>
    <w:rsid w:val="00A803B1"/>
    <w:rsid w:val="00A803E2"/>
    <w:rsid w:val="00A80479"/>
    <w:rsid w:val="00A80D80"/>
    <w:rsid w:val="00A81200"/>
    <w:rsid w:val="00A81569"/>
    <w:rsid w:val="00A81D1B"/>
    <w:rsid w:val="00A81F19"/>
    <w:rsid w:val="00A8259E"/>
    <w:rsid w:val="00A8312D"/>
    <w:rsid w:val="00A83769"/>
    <w:rsid w:val="00A83EB8"/>
    <w:rsid w:val="00A8404D"/>
    <w:rsid w:val="00A842F8"/>
    <w:rsid w:val="00A8438E"/>
    <w:rsid w:val="00A85005"/>
    <w:rsid w:val="00A851FE"/>
    <w:rsid w:val="00A85863"/>
    <w:rsid w:val="00A85873"/>
    <w:rsid w:val="00A859F6"/>
    <w:rsid w:val="00A85F9A"/>
    <w:rsid w:val="00A86965"/>
    <w:rsid w:val="00A86A63"/>
    <w:rsid w:val="00A86E28"/>
    <w:rsid w:val="00A86E5E"/>
    <w:rsid w:val="00A86E7B"/>
    <w:rsid w:val="00A86F76"/>
    <w:rsid w:val="00A87331"/>
    <w:rsid w:val="00A87E16"/>
    <w:rsid w:val="00A9099A"/>
    <w:rsid w:val="00A90C25"/>
    <w:rsid w:val="00A90D48"/>
    <w:rsid w:val="00A90D78"/>
    <w:rsid w:val="00A90F55"/>
    <w:rsid w:val="00A9178D"/>
    <w:rsid w:val="00A9186D"/>
    <w:rsid w:val="00A91E28"/>
    <w:rsid w:val="00A91EBB"/>
    <w:rsid w:val="00A922C8"/>
    <w:rsid w:val="00A92C37"/>
    <w:rsid w:val="00A9325B"/>
    <w:rsid w:val="00A9366E"/>
    <w:rsid w:val="00A9378E"/>
    <w:rsid w:val="00A9385A"/>
    <w:rsid w:val="00A939D4"/>
    <w:rsid w:val="00A93D01"/>
    <w:rsid w:val="00A940CF"/>
    <w:rsid w:val="00A94120"/>
    <w:rsid w:val="00A94B8C"/>
    <w:rsid w:val="00A94D51"/>
    <w:rsid w:val="00A94D6C"/>
    <w:rsid w:val="00A95823"/>
    <w:rsid w:val="00A95BB5"/>
    <w:rsid w:val="00A95E16"/>
    <w:rsid w:val="00A95E1B"/>
    <w:rsid w:val="00A961B9"/>
    <w:rsid w:val="00A96232"/>
    <w:rsid w:val="00A96A82"/>
    <w:rsid w:val="00A96B5D"/>
    <w:rsid w:val="00A96BE9"/>
    <w:rsid w:val="00A96D1B"/>
    <w:rsid w:val="00A96DF8"/>
    <w:rsid w:val="00A96F0B"/>
    <w:rsid w:val="00A96F6A"/>
    <w:rsid w:val="00A97EF0"/>
    <w:rsid w:val="00AA031E"/>
    <w:rsid w:val="00AA0BAF"/>
    <w:rsid w:val="00AA11E7"/>
    <w:rsid w:val="00AA1347"/>
    <w:rsid w:val="00AA1BB0"/>
    <w:rsid w:val="00AA1DD8"/>
    <w:rsid w:val="00AA1F0B"/>
    <w:rsid w:val="00AA22C8"/>
    <w:rsid w:val="00AA28CB"/>
    <w:rsid w:val="00AA2ADF"/>
    <w:rsid w:val="00AA2D70"/>
    <w:rsid w:val="00AA2E9E"/>
    <w:rsid w:val="00AA3158"/>
    <w:rsid w:val="00AA32A6"/>
    <w:rsid w:val="00AA34EE"/>
    <w:rsid w:val="00AA3540"/>
    <w:rsid w:val="00AA38B6"/>
    <w:rsid w:val="00AA39F6"/>
    <w:rsid w:val="00AA3B22"/>
    <w:rsid w:val="00AA3B47"/>
    <w:rsid w:val="00AA3C73"/>
    <w:rsid w:val="00AA45C4"/>
    <w:rsid w:val="00AA4DFA"/>
    <w:rsid w:val="00AA4FA5"/>
    <w:rsid w:val="00AA572C"/>
    <w:rsid w:val="00AA57F4"/>
    <w:rsid w:val="00AA590E"/>
    <w:rsid w:val="00AA594B"/>
    <w:rsid w:val="00AA59F5"/>
    <w:rsid w:val="00AA5B77"/>
    <w:rsid w:val="00AA5C30"/>
    <w:rsid w:val="00AA62DA"/>
    <w:rsid w:val="00AA676F"/>
    <w:rsid w:val="00AA6B2D"/>
    <w:rsid w:val="00AA6C1E"/>
    <w:rsid w:val="00AA6F5D"/>
    <w:rsid w:val="00AA7B7C"/>
    <w:rsid w:val="00AA7FC0"/>
    <w:rsid w:val="00AB0708"/>
    <w:rsid w:val="00AB074A"/>
    <w:rsid w:val="00AB0D26"/>
    <w:rsid w:val="00AB1012"/>
    <w:rsid w:val="00AB1D4A"/>
    <w:rsid w:val="00AB243B"/>
    <w:rsid w:val="00AB292A"/>
    <w:rsid w:val="00AB2A74"/>
    <w:rsid w:val="00AB33F8"/>
    <w:rsid w:val="00AB3438"/>
    <w:rsid w:val="00AB440C"/>
    <w:rsid w:val="00AB44CB"/>
    <w:rsid w:val="00AB4796"/>
    <w:rsid w:val="00AB4A66"/>
    <w:rsid w:val="00AB4C64"/>
    <w:rsid w:val="00AB5122"/>
    <w:rsid w:val="00AB51BB"/>
    <w:rsid w:val="00AB5F74"/>
    <w:rsid w:val="00AB5F7E"/>
    <w:rsid w:val="00AB63E3"/>
    <w:rsid w:val="00AB6B4D"/>
    <w:rsid w:val="00AB6EC6"/>
    <w:rsid w:val="00AB732E"/>
    <w:rsid w:val="00AB7973"/>
    <w:rsid w:val="00AB7988"/>
    <w:rsid w:val="00AB7B2B"/>
    <w:rsid w:val="00AB7E9D"/>
    <w:rsid w:val="00AC0295"/>
    <w:rsid w:val="00AC0646"/>
    <w:rsid w:val="00AC08E1"/>
    <w:rsid w:val="00AC094C"/>
    <w:rsid w:val="00AC09F1"/>
    <w:rsid w:val="00AC0AD7"/>
    <w:rsid w:val="00AC0C59"/>
    <w:rsid w:val="00AC0FA8"/>
    <w:rsid w:val="00AC14C3"/>
    <w:rsid w:val="00AC1D0D"/>
    <w:rsid w:val="00AC2440"/>
    <w:rsid w:val="00AC2500"/>
    <w:rsid w:val="00AC2912"/>
    <w:rsid w:val="00AC2945"/>
    <w:rsid w:val="00AC33EB"/>
    <w:rsid w:val="00AC3558"/>
    <w:rsid w:val="00AC3768"/>
    <w:rsid w:val="00AC3A6D"/>
    <w:rsid w:val="00AC3AB6"/>
    <w:rsid w:val="00AC4776"/>
    <w:rsid w:val="00AC4C3D"/>
    <w:rsid w:val="00AC4C6A"/>
    <w:rsid w:val="00AC51FA"/>
    <w:rsid w:val="00AC5D05"/>
    <w:rsid w:val="00AC61D8"/>
    <w:rsid w:val="00AC63B7"/>
    <w:rsid w:val="00AC641C"/>
    <w:rsid w:val="00AC6792"/>
    <w:rsid w:val="00AC68BC"/>
    <w:rsid w:val="00AC6DAE"/>
    <w:rsid w:val="00AC7713"/>
    <w:rsid w:val="00AC77A1"/>
    <w:rsid w:val="00AC7DE6"/>
    <w:rsid w:val="00AC7EEC"/>
    <w:rsid w:val="00AD012A"/>
    <w:rsid w:val="00AD021B"/>
    <w:rsid w:val="00AD0494"/>
    <w:rsid w:val="00AD080C"/>
    <w:rsid w:val="00AD0B7F"/>
    <w:rsid w:val="00AD0E37"/>
    <w:rsid w:val="00AD0FA4"/>
    <w:rsid w:val="00AD1008"/>
    <w:rsid w:val="00AD16A9"/>
    <w:rsid w:val="00AD1743"/>
    <w:rsid w:val="00AD1B3C"/>
    <w:rsid w:val="00AD1BD4"/>
    <w:rsid w:val="00AD2263"/>
    <w:rsid w:val="00AD26C2"/>
    <w:rsid w:val="00AD2E83"/>
    <w:rsid w:val="00AD31D8"/>
    <w:rsid w:val="00AD33AE"/>
    <w:rsid w:val="00AD346E"/>
    <w:rsid w:val="00AD35F9"/>
    <w:rsid w:val="00AD3708"/>
    <w:rsid w:val="00AD372D"/>
    <w:rsid w:val="00AD3C00"/>
    <w:rsid w:val="00AD3E7F"/>
    <w:rsid w:val="00AD42A3"/>
    <w:rsid w:val="00AD4381"/>
    <w:rsid w:val="00AD5054"/>
    <w:rsid w:val="00AD50F0"/>
    <w:rsid w:val="00AD56BE"/>
    <w:rsid w:val="00AD595C"/>
    <w:rsid w:val="00AD5BC2"/>
    <w:rsid w:val="00AD6645"/>
    <w:rsid w:val="00AD6799"/>
    <w:rsid w:val="00AD6C28"/>
    <w:rsid w:val="00AD6E42"/>
    <w:rsid w:val="00AD7345"/>
    <w:rsid w:val="00AD7500"/>
    <w:rsid w:val="00AD7CFF"/>
    <w:rsid w:val="00AD7F91"/>
    <w:rsid w:val="00AE0005"/>
    <w:rsid w:val="00AE0267"/>
    <w:rsid w:val="00AE05E6"/>
    <w:rsid w:val="00AE0890"/>
    <w:rsid w:val="00AE09AC"/>
    <w:rsid w:val="00AE0D4C"/>
    <w:rsid w:val="00AE0FD2"/>
    <w:rsid w:val="00AE1073"/>
    <w:rsid w:val="00AE109F"/>
    <w:rsid w:val="00AE10F0"/>
    <w:rsid w:val="00AE2011"/>
    <w:rsid w:val="00AE2114"/>
    <w:rsid w:val="00AE2605"/>
    <w:rsid w:val="00AE303C"/>
    <w:rsid w:val="00AE349F"/>
    <w:rsid w:val="00AE49FA"/>
    <w:rsid w:val="00AE4F2A"/>
    <w:rsid w:val="00AE554A"/>
    <w:rsid w:val="00AE5674"/>
    <w:rsid w:val="00AE57ED"/>
    <w:rsid w:val="00AE5BEA"/>
    <w:rsid w:val="00AE6231"/>
    <w:rsid w:val="00AE6482"/>
    <w:rsid w:val="00AE6F9C"/>
    <w:rsid w:val="00AE7083"/>
    <w:rsid w:val="00AE7483"/>
    <w:rsid w:val="00AF018C"/>
    <w:rsid w:val="00AF0715"/>
    <w:rsid w:val="00AF0989"/>
    <w:rsid w:val="00AF0996"/>
    <w:rsid w:val="00AF0D26"/>
    <w:rsid w:val="00AF0DB5"/>
    <w:rsid w:val="00AF0F90"/>
    <w:rsid w:val="00AF13AB"/>
    <w:rsid w:val="00AF17C6"/>
    <w:rsid w:val="00AF18C2"/>
    <w:rsid w:val="00AF23AB"/>
    <w:rsid w:val="00AF24F7"/>
    <w:rsid w:val="00AF2AC0"/>
    <w:rsid w:val="00AF2BAA"/>
    <w:rsid w:val="00AF2C5C"/>
    <w:rsid w:val="00AF2D1B"/>
    <w:rsid w:val="00AF3256"/>
    <w:rsid w:val="00AF37C4"/>
    <w:rsid w:val="00AF3824"/>
    <w:rsid w:val="00AF3FCA"/>
    <w:rsid w:val="00AF4078"/>
    <w:rsid w:val="00AF44A5"/>
    <w:rsid w:val="00AF480A"/>
    <w:rsid w:val="00AF5171"/>
    <w:rsid w:val="00AF58DE"/>
    <w:rsid w:val="00AF63BF"/>
    <w:rsid w:val="00AF65DF"/>
    <w:rsid w:val="00AF67C8"/>
    <w:rsid w:val="00AF6A5D"/>
    <w:rsid w:val="00AF6DCF"/>
    <w:rsid w:val="00AF7199"/>
    <w:rsid w:val="00AF72FB"/>
    <w:rsid w:val="00AF7480"/>
    <w:rsid w:val="00AF7678"/>
    <w:rsid w:val="00AF7BA4"/>
    <w:rsid w:val="00AF7FBC"/>
    <w:rsid w:val="00B00063"/>
    <w:rsid w:val="00B00254"/>
    <w:rsid w:val="00B004E9"/>
    <w:rsid w:val="00B00F79"/>
    <w:rsid w:val="00B011E2"/>
    <w:rsid w:val="00B013AD"/>
    <w:rsid w:val="00B015B3"/>
    <w:rsid w:val="00B01667"/>
    <w:rsid w:val="00B02322"/>
    <w:rsid w:val="00B02745"/>
    <w:rsid w:val="00B02869"/>
    <w:rsid w:val="00B02D7E"/>
    <w:rsid w:val="00B02F37"/>
    <w:rsid w:val="00B0307B"/>
    <w:rsid w:val="00B03088"/>
    <w:rsid w:val="00B03185"/>
    <w:rsid w:val="00B034D3"/>
    <w:rsid w:val="00B038BE"/>
    <w:rsid w:val="00B041A2"/>
    <w:rsid w:val="00B0451F"/>
    <w:rsid w:val="00B04581"/>
    <w:rsid w:val="00B04C55"/>
    <w:rsid w:val="00B0579D"/>
    <w:rsid w:val="00B05894"/>
    <w:rsid w:val="00B05FD3"/>
    <w:rsid w:val="00B0634B"/>
    <w:rsid w:val="00B06894"/>
    <w:rsid w:val="00B06B71"/>
    <w:rsid w:val="00B06C99"/>
    <w:rsid w:val="00B06CC6"/>
    <w:rsid w:val="00B06D74"/>
    <w:rsid w:val="00B071BF"/>
    <w:rsid w:val="00B103DA"/>
    <w:rsid w:val="00B104FE"/>
    <w:rsid w:val="00B10651"/>
    <w:rsid w:val="00B10AA1"/>
    <w:rsid w:val="00B10CCF"/>
    <w:rsid w:val="00B10D72"/>
    <w:rsid w:val="00B111EC"/>
    <w:rsid w:val="00B116AC"/>
    <w:rsid w:val="00B118C6"/>
    <w:rsid w:val="00B11BB5"/>
    <w:rsid w:val="00B11D09"/>
    <w:rsid w:val="00B1254F"/>
    <w:rsid w:val="00B125A8"/>
    <w:rsid w:val="00B1268D"/>
    <w:rsid w:val="00B12C13"/>
    <w:rsid w:val="00B13C90"/>
    <w:rsid w:val="00B13D99"/>
    <w:rsid w:val="00B1410F"/>
    <w:rsid w:val="00B14385"/>
    <w:rsid w:val="00B146C3"/>
    <w:rsid w:val="00B14EDA"/>
    <w:rsid w:val="00B1530C"/>
    <w:rsid w:val="00B15E62"/>
    <w:rsid w:val="00B15F6B"/>
    <w:rsid w:val="00B1619E"/>
    <w:rsid w:val="00B166E0"/>
    <w:rsid w:val="00B1699F"/>
    <w:rsid w:val="00B1707A"/>
    <w:rsid w:val="00B1729B"/>
    <w:rsid w:val="00B1742E"/>
    <w:rsid w:val="00B174F1"/>
    <w:rsid w:val="00B176A2"/>
    <w:rsid w:val="00B17889"/>
    <w:rsid w:val="00B178AF"/>
    <w:rsid w:val="00B17CF7"/>
    <w:rsid w:val="00B17F55"/>
    <w:rsid w:val="00B202E1"/>
    <w:rsid w:val="00B2036A"/>
    <w:rsid w:val="00B20652"/>
    <w:rsid w:val="00B206F0"/>
    <w:rsid w:val="00B2075D"/>
    <w:rsid w:val="00B20814"/>
    <w:rsid w:val="00B2087F"/>
    <w:rsid w:val="00B208C8"/>
    <w:rsid w:val="00B20977"/>
    <w:rsid w:val="00B20D3E"/>
    <w:rsid w:val="00B21751"/>
    <w:rsid w:val="00B21C83"/>
    <w:rsid w:val="00B22297"/>
    <w:rsid w:val="00B228F6"/>
    <w:rsid w:val="00B229F4"/>
    <w:rsid w:val="00B22E67"/>
    <w:rsid w:val="00B234DB"/>
    <w:rsid w:val="00B237E0"/>
    <w:rsid w:val="00B238B1"/>
    <w:rsid w:val="00B23B35"/>
    <w:rsid w:val="00B23E6B"/>
    <w:rsid w:val="00B2405A"/>
    <w:rsid w:val="00B2446B"/>
    <w:rsid w:val="00B2448C"/>
    <w:rsid w:val="00B24F5A"/>
    <w:rsid w:val="00B2510A"/>
    <w:rsid w:val="00B25969"/>
    <w:rsid w:val="00B25B77"/>
    <w:rsid w:val="00B268C0"/>
    <w:rsid w:val="00B269C3"/>
    <w:rsid w:val="00B26AE9"/>
    <w:rsid w:val="00B26D97"/>
    <w:rsid w:val="00B26EB3"/>
    <w:rsid w:val="00B26F08"/>
    <w:rsid w:val="00B27007"/>
    <w:rsid w:val="00B272FC"/>
    <w:rsid w:val="00B2739D"/>
    <w:rsid w:val="00B27626"/>
    <w:rsid w:val="00B27C2E"/>
    <w:rsid w:val="00B30123"/>
    <w:rsid w:val="00B3046F"/>
    <w:rsid w:val="00B30B58"/>
    <w:rsid w:val="00B312D6"/>
    <w:rsid w:val="00B31B99"/>
    <w:rsid w:val="00B31D10"/>
    <w:rsid w:val="00B32293"/>
    <w:rsid w:val="00B32342"/>
    <w:rsid w:val="00B325E4"/>
    <w:rsid w:val="00B32706"/>
    <w:rsid w:val="00B32722"/>
    <w:rsid w:val="00B32824"/>
    <w:rsid w:val="00B328BE"/>
    <w:rsid w:val="00B32AC3"/>
    <w:rsid w:val="00B32EDD"/>
    <w:rsid w:val="00B3315E"/>
    <w:rsid w:val="00B33760"/>
    <w:rsid w:val="00B33F57"/>
    <w:rsid w:val="00B34023"/>
    <w:rsid w:val="00B3419C"/>
    <w:rsid w:val="00B3477B"/>
    <w:rsid w:val="00B34F00"/>
    <w:rsid w:val="00B3507D"/>
    <w:rsid w:val="00B35709"/>
    <w:rsid w:val="00B35730"/>
    <w:rsid w:val="00B3609C"/>
    <w:rsid w:val="00B36BCC"/>
    <w:rsid w:val="00B36C32"/>
    <w:rsid w:val="00B370F1"/>
    <w:rsid w:val="00B372FC"/>
    <w:rsid w:val="00B37374"/>
    <w:rsid w:val="00B379F7"/>
    <w:rsid w:val="00B37B03"/>
    <w:rsid w:val="00B37B07"/>
    <w:rsid w:val="00B37EF9"/>
    <w:rsid w:val="00B40143"/>
    <w:rsid w:val="00B404B1"/>
    <w:rsid w:val="00B40BCB"/>
    <w:rsid w:val="00B40FCC"/>
    <w:rsid w:val="00B412D6"/>
    <w:rsid w:val="00B41366"/>
    <w:rsid w:val="00B4153D"/>
    <w:rsid w:val="00B41874"/>
    <w:rsid w:val="00B41963"/>
    <w:rsid w:val="00B41A36"/>
    <w:rsid w:val="00B41E6B"/>
    <w:rsid w:val="00B41F6B"/>
    <w:rsid w:val="00B42C17"/>
    <w:rsid w:val="00B4336B"/>
    <w:rsid w:val="00B438DF"/>
    <w:rsid w:val="00B43C1E"/>
    <w:rsid w:val="00B440C6"/>
    <w:rsid w:val="00B44181"/>
    <w:rsid w:val="00B44232"/>
    <w:rsid w:val="00B442F8"/>
    <w:rsid w:val="00B445A7"/>
    <w:rsid w:val="00B44ADE"/>
    <w:rsid w:val="00B44CEF"/>
    <w:rsid w:val="00B44E51"/>
    <w:rsid w:val="00B45687"/>
    <w:rsid w:val="00B45AEB"/>
    <w:rsid w:val="00B462D1"/>
    <w:rsid w:val="00B4653C"/>
    <w:rsid w:val="00B46A9E"/>
    <w:rsid w:val="00B46CC0"/>
    <w:rsid w:val="00B47024"/>
    <w:rsid w:val="00B47783"/>
    <w:rsid w:val="00B47808"/>
    <w:rsid w:val="00B47873"/>
    <w:rsid w:val="00B47B09"/>
    <w:rsid w:val="00B50454"/>
    <w:rsid w:val="00B50AEB"/>
    <w:rsid w:val="00B50C6D"/>
    <w:rsid w:val="00B50D89"/>
    <w:rsid w:val="00B51131"/>
    <w:rsid w:val="00B51208"/>
    <w:rsid w:val="00B51A8D"/>
    <w:rsid w:val="00B51BAF"/>
    <w:rsid w:val="00B52105"/>
    <w:rsid w:val="00B523A7"/>
    <w:rsid w:val="00B523E4"/>
    <w:rsid w:val="00B528E2"/>
    <w:rsid w:val="00B52D57"/>
    <w:rsid w:val="00B52E9D"/>
    <w:rsid w:val="00B5339F"/>
    <w:rsid w:val="00B5354C"/>
    <w:rsid w:val="00B536E7"/>
    <w:rsid w:val="00B54792"/>
    <w:rsid w:val="00B54A04"/>
    <w:rsid w:val="00B54D88"/>
    <w:rsid w:val="00B555B9"/>
    <w:rsid w:val="00B55826"/>
    <w:rsid w:val="00B56753"/>
    <w:rsid w:val="00B5734E"/>
    <w:rsid w:val="00B57CD8"/>
    <w:rsid w:val="00B60041"/>
    <w:rsid w:val="00B60603"/>
    <w:rsid w:val="00B6152F"/>
    <w:rsid w:val="00B61A02"/>
    <w:rsid w:val="00B61D9B"/>
    <w:rsid w:val="00B62CCF"/>
    <w:rsid w:val="00B63F34"/>
    <w:rsid w:val="00B643BB"/>
    <w:rsid w:val="00B64984"/>
    <w:rsid w:val="00B65346"/>
    <w:rsid w:val="00B6572A"/>
    <w:rsid w:val="00B65833"/>
    <w:rsid w:val="00B663DA"/>
    <w:rsid w:val="00B66970"/>
    <w:rsid w:val="00B66E77"/>
    <w:rsid w:val="00B6736B"/>
    <w:rsid w:val="00B6775B"/>
    <w:rsid w:val="00B677CE"/>
    <w:rsid w:val="00B67A0B"/>
    <w:rsid w:val="00B67FCB"/>
    <w:rsid w:val="00B7039D"/>
    <w:rsid w:val="00B7089D"/>
    <w:rsid w:val="00B70B08"/>
    <w:rsid w:val="00B70B40"/>
    <w:rsid w:val="00B70BF4"/>
    <w:rsid w:val="00B70FA0"/>
    <w:rsid w:val="00B713F1"/>
    <w:rsid w:val="00B719BE"/>
    <w:rsid w:val="00B71E28"/>
    <w:rsid w:val="00B71FF2"/>
    <w:rsid w:val="00B72311"/>
    <w:rsid w:val="00B72403"/>
    <w:rsid w:val="00B72606"/>
    <w:rsid w:val="00B72807"/>
    <w:rsid w:val="00B728C2"/>
    <w:rsid w:val="00B7299A"/>
    <w:rsid w:val="00B72B1C"/>
    <w:rsid w:val="00B73663"/>
    <w:rsid w:val="00B738FD"/>
    <w:rsid w:val="00B73A4B"/>
    <w:rsid w:val="00B73B77"/>
    <w:rsid w:val="00B73C7E"/>
    <w:rsid w:val="00B73CBE"/>
    <w:rsid w:val="00B73E36"/>
    <w:rsid w:val="00B7418B"/>
    <w:rsid w:val="00B7439A"/>
    <w:rsid w:val="00B744E0"/>
    <w:rsid w:val="00B74F97"/>
    <w:rsid w:val="00B752DD"/>
    <w:rsid w:val="00B7532E"/>
    <w:rsid w:val="00B75552"/>
    <w:rsid w:val="00B7571A"/>
    <w:rsid w:val="00B759C3"/>
    <w:rsid w:val="00B75C2F"/>
    <w:rsid w:val="00B75D6F"/>
    <w:rsid w:val="00B761D8"/>
    <w:rsid w:val="00B76668"/>
    <w:rsid w:val="00B766F1"/>
    <w:rsid w:val="00B76BDD"/>
    <w:rsid w:val="00B76C99"/>
    <w:rsid w:val="00B7722A"/>
    <w:rsid w:val="00B77433"/>
    <w:rsid w:val="00B7746D"/>
    <w:rsid w:val="00B80123"/>
    <w:rsid w:val="00B80410"/>
    <w:rsid w:val="00B80538"/>
    <w:rsid w:val="00B80BF6"/>
    <w:rsid w:val="00B80F61"/>
    <w:rsid w:val="00B8168D"/>
    <w:rsid w:val="00B81A3E"/>
    <w:rsid w:val="00B825A9"/>
    <w:rsid w:val="00B8289F"/>
    <w:rsid w:val="00B82C09"/>
    <w:rsid w:val="00B840CA"/>
    <w:rsid w:val="00B8449D"/>
    <w:rsid w:val="00B84C6B"/>
    <w:rsid w:val="00B84C91"/>
    <w:rsid w:val="00B84F0B"/>
    <w:rsid w:val="00B8534D"/>
    <w:rsid w:val="00B855F2"/>
    <w:rsid w:val="00B8565F"/>
    <w:rsid w:val="00B85737"/>
    <w:rsid w:val="00B8575B"/>
    <w:rsid w:val="00B85AFC"/>
    <w:rsid w:val="00B86311"/>
    <w:rsid w:val="00B863B3"/>
    <w:rsid w:val="00B8666F"/>
    <w:rsid w:val="00B86685"/>
    <w:rsid w:val="00B866FF"/>
    <w:rsid w:val="00B86D7B"/>
    <w:rsid w:val="00B87961"/>
    <w:rsid w:val="00B879D9"/>
    <w:rsid w:val="00B904C7"/>
    <w:rsid w:val="00B9069F"/>
    <w:rsid w:val="00B90A61"/>
    <w:rsid w:val="00B913B3"/>
    <w:rsid w:val="00B91445"/>
    <w:rsid w:val="00B91D23"/>
    <w:rsid w:val="00B91F6A"/>
    <w:rsid w:val="00B92033"/>
    <w:rsid w:val="00B921E9"/>
    <w:rsid w:val="00B9231A"/>
    <w:rsid w:val="00B92325"/>
    <w:rsid w:val="00B92555"/>
    <w:rsid w:val="00B92AA3"/>
    <w:rsid w:val="00B92C91"/>
    <w:rsid w:val="00B92DEB"/>
    <w:rsid w:val="00B92F5C"/>
    <w:rsid w:val="00B92F60"/>
    <w:rsid w:val="00B9326C"/>
    <w:rsid w:val="00B93467"/>
    <w:rsid w:val="00B934EB"/>
    <w:rsid w:val="00B937B0"/>
    <w:rsid w:val="00B93A2B"/>
    <w:rsid w:val="00B93DF0"/>
    <w:rsid w:val="00B940DF"/>
    <w:rsid w:val="00B94736"/>
    <w:rsid w:val="00B95314"/>
    <w:rsid w:val="00B95B68"/>
    <w:rsid w:val="00B95BB5"/>
    <w:rsid w:val="00B95D1F"/>
    <w:rsid w:val="00B96131"/>
    <w:rsid w:val="00B963BE"/>
    <w:rsid w:val="00B9643C"/>
    <w:rsid w:val="00B968D3"/>
    <w:rsid w:val="00B96902"/>
    <w:rsid w:val="00B96EE3"/>
    <w:rsid w:val="00B9709B"/>
    <w:rsid w:val="00B975B6"/>
    <w:rsid w:val="00B9783B"/>
    <w:rsid w:val="00B97BD5"/>
    <w:rsid w:val="00B97E4D"/>
    <w:rsid w:val="00BA0355"/>
    <w:rsid w:val="00BA0A2D"/>
    <w:rsid w:val="00BA1068"/>
    <w:rsid w:val="00BA124F"/>
    <w:rsid w:val="00BA147E"/>
    <w:rsid w:val="00BA1483"/>
    <w:rsid w:val="00BA1513"/>
    <w:rsid w:val="00BA1D2B"/>
    <w:rsid w:val="00BA2540"/>
    <w:rsid w:val="00BA2752"/>
    <w:rsid w:val="00BA2E53"/>
    <w:rsid w:val="00BA2FFC"/>
    <w:rsid w:val="00BA327A"/>
    <w:rsid w:val="00BA32AF"/>
    <w:rsid w:val="00BA3546"/>
    <w:rsid w:val="00BA37B6"/>
    <w:rsid w:val="00BA3F8B"/>
    <w:rsid w:val="00BA3FAB"/>
    <w:rsid w:val="00BA486B"/>
    <w:rsid w:val="00BA49D9"/>
    <w:rsid w:val="00BA4FAD"/>
    <w:rsid w:val="00BA5561"/>
    <w:rsid w:val="00BA5988"/>
    <w:rsid w:val="00BA5BA0"/>
    <w:rsid w:val="00BA5C7A"/>
    <w:rsid w:val="00BA62D5"/>
    <w:rsid w:val="00BA6605"/>
    <w:rsid w:val="00BA69A9"/>
    <w:rsid w:val="00BA6C19"/>
    <w:rsid w:val="00BA74F7"/>
    <w:rsid w:val="00BA7B11"/>
    <w:rsid w:val="00BA7B46"/>
    <w:rsid w:val="00BA7C70"/>
    <w:rsid w:val="00BA7D49"/>
    <w:rsid w:val="00BB0042"/>
    <w:rsid w:val="00BB06B6"/>
    <w:rsid w:val="00BB0CC0"/>
    <w:rsid w:val="00BB1714"/>
    <w:rsid w:val="00BB1822"/>
    <w:rsid w:val="00BB18C3"/>
    <w:rsid w:val="00BB1BD1"/>
    <w:rsid w:val="00BB1C2B"/>
    <w:rsid w:val="00BB1E9B"/>
    <w:rsid w:val="00BB2021"/>
    <w:rsid w:val="00BB25C5"/>
    <w:rsid w:val="00BB27F6"/>
    <w:rsid w:val="00BB2D7F"/>
    <w:rsid w:val="00BB386F"/>
    <w:rsid w:val="00BB3979"/>
    <w:rsid w:val="00BB3DF1"/>
    <w:rsid w:val="00BB40D6"/>
    <w:rsid w:val="00BB4210"/>
    <w:rsid w:val="00BB432A"/>
    <w:rsid w:val="00BB4341"/>
    <w:rsid w:val="00BB4591"/>
    <w:rsid w:val="00BB4E37"/>
    <w:rsid w:val="00BB4E83"/>
    <w:rsid w:val="00BB56CB"/>
    <w:rsid w:val="00BB56F0"/>
    <w:rsid w:val="00BB59CE"/>
    <w:rsid w:val="00BB5BFA"/>
    <w:rsid w:val="00BB5CFB"/>
    <w:rsid w:val="00BB6143"/>
    <w:rsid w:val="00BB64F8"/>
    <w:rsid w:val="00BB6DD4"/>
    <w:rsid w:val="00BB7090"/>
    <w:rsid w:val="00BB7143"/>
    <w:rsid w:val="00BB722F"/>
    <w:rsid w:val="00BB7246"/>
    <w:rsid w:val="00BB7526"/>
    <w:rsid w:val="00BB7CD6"/>
    <w:rsid w:val="00BB7E75"/>
    <w:rsid w:val="00BB7F78"/>
    <w:rsid w:val="00BB7F86"/>
    <w:rsid w:val="00BC02B3"/>
    <w:rsid w:val="00BC077C"/>
    <w:rsid w:val="00BC1108"/>
    <w:rsid w:val="00BC1190"/>
    <w:rsid w:val="00BC1AFE"/>
    <w:rsid w:val="00BC1C6E"/>
    <w:rsid w:val="00BC2670"/>
    <w:rsid w:val="00BC2F31"/>
    <w:rsid w:val="00BC2FDB"/>
    <w:rsid w:val="00BC3098"/>
    <w:rsid w:val="00BC31F8"/>
    <w:rsid w:val="00BC3BD0"/>
    <w:rsid w:val="00BC4145"/>
    <w:rsid w:val="00BC458A"/>
    <w:rsid w:val="00BC4BF7"/>
    <w:rsid w:val="00BC4C39"/>
    <w:rsid w:val="00BC5103"/>
    <w:rsid w:val="00BC511B"/>
    <w:rsid w:val="00BC5484"/>
    <w:rsid w:val="00BC5689"/>
    <w:rsid w:val="00BC5EA4"/>
    <w:rsid w:val="00BC5EAE"/>
    <w:rsid w:val="00BC6731"/>
    <w:rsid w:val="00BC6BAE"/>
    <w:rsid w:val="00BC6C28"/>
    <w:rsid w:val="00BC7224"/>
    <w:rsid w:val="00BC7341"/>
    <w:rsid w:val="00BC7606"/>
    <w:rsid w:val="00BC76BB"/>
    <w:rsid w:val="00BC777E"/>
    <w:rsid w:val="00BC791A"/>
    <w:rsid w:val="00BD037C"/>
    <w:rsid w:val="00BD0864"/>
    <w:rsid w:val="00BD0E79"/>
    <w:rsid w:val="00BD10A2"/>
    <w:rsid w:val="00BD1580"/>
    <w:rsid w:val="00BD180B"/>
    <w:rsid w:val="00BD1B28"/>
    <w:rsid w:val="00BD21F1"/>
    <w:rsid w:val="00BD221D"/>
    <w:rsid w:val="00BD2237"/>
    <w:rsid w:val="00BD26D6"/>
    <w:rsid w:val="00BD2D78"/>
    <w:rsid w:val="00BD3210"/>
    <w:rsid w:val="00BD45B2"/>
    <w:rsid w:val="00BD49D9"/>
    <w:rsid w:val="00BD5556"/>
    <w:rsid w:val="00BD56C7"/>
    <w:rsid w:val="00BD5782"/>
    <w:rsid w:val="00BD5884"/>
    <w:rsid w:val="00BD65C8"/>
    <w:rsid w:val="00BD6757"/>
    <w:rsid w:val="00BD68FA"/>
    <w:rsid w:val="00BD76FF"/>
    <w:rsid w:val="00BD7BD8"/>
    <w:rsid w:val="00BD7F94"/>
    <w:rsid w:val="00BE09D9"/>
    <w:rsid w:val="00BE0E6A"/>
    <w:rsid w:val="00BE1041"/>
    <w:rsid w:val="00BE12F0"/>
    <w:rsid w:val="00BE1521"/>
    <w:rsid w:val="00BE174D"/>
    <w:rsid w:val="00BE1EC6"/>
    <w:rsid w:val="00BE27BE"/>
    <w:rsid w:val="00BE2BE0"/>
    <w:rsid w:val="00BE2E17"/>
    <w:rsid w:val="00BE33B7"/>
    <w:rsid w:val="00BE35EF"/>
    <w:rsid w:val="00BE388E"/>
    <w:rsid w:val="00BE442E"/>
    <w:rsid w:val="00BE444E"/>
    <w:rsid w:val="00BE47AD"/>
    <w:rsid w:val="00BE4B4C"/>
    <w:rsid w:val="00BE4CC9"/>
    <w:rsid w:val="00BE4CEB"/>
    <w:rsid w:val="00BE502B"/>
    <w:rsid w:val="00BE5100"/>
    <w:rsid w:val="00BE5286"/>
    <w:rsid w:val="00BE54B9"/>
    <w:rsid w:val="00BE643D"/>
    <w:rsid w:val="00BE64BB"/>
    <w:rsid w:val="00BE688A"/>
    <w:rsid w:val="00BE6DD9"/>
    <w:rsid w:val="00BE7E00"/>
    <w:rsid w:val="00BE7E08"/>
    <w:rsid w:val="00BE7E2B"/>
    <w:rsid w:val="00BF06C0"/>
    <w:rsid w:val="00BF0CE7"/>
    <w:rsid w:val="00BF243D"/>
    <w:rsid w:val="00BF271F"/>
    <w:rsid w:val="00BF2C15"/>
    <w:rsid w:val="00BF2C47"/>
    <w:rsid w:val="00BF2D20"/>
    <w:rsid w:val="00BF2D69"/>
    <w:rsid w:val="00BF2D8F"/>
    <w:rsid w:val="00BF32F7"/>
    <w:rsid w:val="00BF335B"/>
    <w:rsid w:val="00BF33F2"/>
    <w:rsid w:val="00BF366A"/>
    <w:rsid w:val="00BF394E"/>
    <w:rsid w:val="00BF39E5"/>
    <w:rsid w:val="00BF3B9B"/>
    <w:rsid w:val="00BF3DF0"/>
    <w:rsid w:val="00BF43F4"/>
    <w:rsid w:val="00BF461F"/>
    <w:rsid w:val="00BF48DC"/>
    <w:rsid w:val="00BF5EE8"/>
    <w:rsid w:val="00BF6120"/>
    <w:rsid w:val="00BF66F4"/>
    <w:rsid w:val="00BF671E"/>
    <w:rsid w:val="00BF6741"/>
    <w:rsid w:val="00BF7027"/>
    <w:rsid w:val="00BF7317"/>
    <w:rsid w:val="00BF7687"/>
    <w:rsid w:val="00BF7DB5"/>
    <w:rsid w:val="00C004F7"/>
    <w:rsid w:val="00C00506"/>
    <w:rsid w:val="00C009A3"/>
    <w:rsid w:val="00C00A5D"/>
    <w:rsid w:val="00C00C82"/>
    <w:rsid w:val="00C00DA3"/>
    <w:rsid w:val="00C00EE5"/>
    <w:rsid w:val="00C01143"/>
    <w:rsid w:val="00C01ADE"/>
    <w:rsid w:val="00C01F90"/>
    <w:rsid w:val="00C02668"/>
    <w:rsid w:val="00C02BEE"/>
    <w:rsid w:val="00C02E07"/>
    <w:rsid w:val="00C03022"/>
    <w:rsid w:val="00C03770"/>
    <w:rsid w:val="00C0386D"/>
    <w:rsid w:val="00C038C5"/>
    <w:rsid w:val="00C03998"/>
    <w:rsid w:val="00C03CC2"/>
    <w:rsid w:val="00C03D71"/>
    <w:rsid w:val="00C03DE6"/>
    <w:rsid w:val="00C0402B"/>
    <w:rsid w:val="00C04226"/>
    <w:rsid w:val="00C043C2"/>
    <w:rsid w:val="00C048EE"/>
    <w:rsid w:val="00C04B77"/>
    <w:rsid w:val="00C04CF7"/>
    <w:rsid w:val="00C0512E"/>
    <w:rsid w:val="00C0516C"/>
    <w:rsid w:val="00C05211"/>
    <w:rsid w:val="00C055F6"/>
    <w:rsid w:val="00C05951"/>
    <w:rsid w:val="00C05E3C"/>
    <w:rsid w:val="00C05F57"/>
    <w:rsid w:val="00C061E1"/>
    <w:rsid w:val="00C06749"/>
    <w:rsid w:val="00C07199"/>
    <w:rsid w:val="00C0731C"/>
    <w:rsid w:val="00C07D26"/>
    <w:rsid w:val="00C1012C"/>
    <w:rsid w:val="00C1027B"/>
    <w:rsid w:val="00C1074B"/>
    <w:rsid w:val="00C11104"/>
    <w:rsid w:val="00C116DA"/>
    <w:rsid w:val="00C11B1B"/>
    <w:rsid w:val="00C11BE3"/>
    <w:rsid w:val="00C11C26"/>
    <w:rsid w:val="00C11F6A"/>
    <w:rsid w:val="00C1259C"/>
    <w:rsid w:val="00C12F8C"/>
    <w:rsid w:val="00C133EE"/>
    <w:rsid w:val="00C1360F"/>
    <w:rsid w:val="00C137B8"/>
    <w:rsid w:val="00C13912"/>
    <w:rsid w:val="00C13AFA"/>
    <w:rsid w:val="00C144C5"/>
    <w:rsid w:val="00C147D1"/>
    <w:rsid w:val="00C148AB"/>
    <w:rsid w:val="00C14E45"/>
    <w:rsid w:val="00C14FC0"/>
    <w:rsid w:val="00C15098"/>
    <w:rsid w:val="00C150A1"/>
    <w:rsid w:val="00C15165"/>
    <w:rsid w:val="00C15197"/>
    <w:rsid w:val="00C1520D"/>
    <w:rsid w:val="00C15279"/>
    <w:rsid w:val="00C155C8"/>
    <w:rsid w:val="00C1564D"/>
    <w:rsid w:val="00C15746"/>
    <w:rsid w:val="00C157D0"/>
    <w:rsid w:val="00C15ED2"/>
    <w:rsid w:val="00C15F63"/>
    <w:rsid w:val="00C1613A"/>
    <w:rsid w:val="00C16664"/>
    <w:rsid w:val="00C16B67"/>
    <w:rsid w:val="00C16BA2"/>
    <w:rsid w:val="00C16F71"/>
    <w:rsid w:val="00C174F5"/>
    <w:rsid w:val="00C202A3"/>
    <w:rsid w:val="00C20406"/>
    <w:rsid w:val="00C2072F"/>
    <w:rsid w:val="00C208B5"/>
    <w:rsid w:val="00C20929"/>
    <w:rsid w:val="00C20BD3"/>
    <w:rsid w:val="00C21058"/>
    <w:rsid w:val="00C213E0"/>
    <w:rsid w:val="00C22470"/>
    <w:rsid w:val="00C22883"/>
    <w:rsid w:val="00C22889"/>
    <w:rsid w:val="00C22D65"/>
    <w:rsid w:val="00C22F31"/>
    <w:rsid w:val="00C23722"/>
    <w:rsid w:val="00C23C0A"/>
    <w:rsid w:val="00C23D83"/>
    <w:rsid w:val="00C23F1D"/>
    <w:rsid w:val="00C247AA"/>
    <w:rsid w:val="00C24910"/>
    <w:rsid w:val="00C2616F"/>
    <w:rsid w:val="00C262FE"/>
    <w:rsid w:val="00C268E5"/>
    <w:rsid w:val="00C26A43"/>
    <w:rsid w:val="00C26BCF"/>
    <w:rsid w:val="00C26ECA"/>
    <w:rsid w:val="00C2745A"/>
    <w:rsid w:val="00C274CC"/>
    <w:rsid w:val="00C278BC"/>
    <w:rsid w:val="00C27BC8"/>
    <w:rsid w:val="00C27DA2"/>
    <w:rsid w:val="00C311F7"/>
    <w:rsid w:val="00C3128F"/>
    <w:rsid w:val="00C31594"/>
    <w:rsid w:val="00C31722"/>
    <w:rsid w:val="00C31F03"/>
    <w:rsid w:val="00C31F9C"/>
    <w:rsid w:val="00C32F52"/>
    <w:rsid w:val="00C3314C"/>
    <w:rsid w:val="00C331E5"/>
    <w:rsid w:val="00C33242"/>
    <w:rsid w:val="00C3330B"/>
    <w:rsid w:val="00C3348B"/>
    <w:rsid w:val="00C33623"/>
    <w:rsid w:val="00C3449D"/>
    <w:rsid w:val="00C34E6C"/>
    <w:rsid w:val="00C3596D"/>
    <w:rsid w:val="00C362E3"/>
    <w:rsid w:val="00C36444"/>
    <w:rsid w:val="00C36477"/>
    <w:rsid w:val="00C36E19"/>
    <w:rsid w:val="00C36E20"/>
    <w:rsid w:val="00C37117"/>
    <w:rsid w:val="00C37CDE"/>
    <w:rsid w:val="00C37D18"/>
    <w:rsid w:val="00C37F3D"/>
    <w:rsid w:val="00C37F97"/>
    <w:rsid w:val="00C40C7B"/>
    <w:rsid w:val="00C40D00"/>
    <w:rsid w:val="00C40D11"/>
    <w:rsid w:val="00C41124"/>
    <w:rsid w:val="00C4159B"/>
    <w:rsid w:val="00C41B61"/>
    <w:rsid w:val="00C42254"/>
    <w:rsid w:val="00C4227F"/>
    <w:rsid w:val="00C42903"/>
    <w:rsid w:val="00C43354"/>
    <w:rsid w:val="00C433D0"/>
    <w:rsid w:val="00C438FD"/>
    <w:rsid w:val="00C43C2B"/>
    <w:rsid w:val="00C4465F"/>
    <w:rsid w:val="00C44EFE"/>
    <w:rsid w:val="00C45138"/>
    <w:rsid w:val="00C453C2"/>
    <w:rsid w:val="00C46646"/>
    <w:rsid w:val="00C466C4"/>
    <w:rsid w:val="00C46804"/>
    <w:rsid w:val="00C4687A"/>
    <w:rsid w:val="00C47017"/>
    <w:rsid w:val="00C4746D"/>
    <w:rsid w:val="00C50476"/>
    <w:rsid w:val="00C504F5"/>
    <w:rsid w:val="00C51042"/>
    <w:rsid w:val="00C51135"/>
    <w:rsid w:val="00C511CD"/>
    <w:rsid w:val="00C5122F"/>
    <w:rsid w:val="00C51683"/>
    <w:rsid w:val="00C51890"/>
    <w:rsid w:val="00C519C6"/>
    <w:rsid w:val="00C51DDF"/>
    <w:rsid w:val="00C5208E"/>
    <w:rsid w:val="00C5233A"/>
    <w:rsid w:val="00C52609"/>
    <w:rsid w:val="00C5261F"/>
    <w:rsid w:val="00C530AC"/>
    <w:rsid w:val="00C531F5"/>
    <w:rsid w:val="00C53FC1"/>
    <w:rsid w:val="00C5444D"/>
    <w:rsid w:val="00C55B40"/>
    <w:rsid w:val="00C55DC6"/>
    <w:rsid w:val="00C55E6D"/>
    <w:rsid w:val="00C5625F"/>
    <w:rsid w:val="00C563E7"/>
    <w:rsid w:val="00C566DA"/>
    <w:rsid w:val="00C567C8"/>
    <w:rsid w:val="00C5684A"/>
    <w:rsid w:val="00C572CC"/>
    <w:rsid w:val="00C57E1B"/>
    <w:rsid w:val="00C57E6D"/>
    <w:rsid w:val="00C60255"/>
    <w:rsid w:val="00C6064A"/>
    <w:rsid w:val="00C60DB0"/>
    <w:rsid w:val="00C61E0D"/>
    <w:rsid w:val="00C61FEC"/>
    <w:rsid w:val="00C620B4"/>
    <w:rsid w:val="00C62401"/>
    <w:rsid w:val="00C62A5C"/>
    <w:rsid w:val="00C63483"/>
    <w:rsid w:val="00C639C4"/>
    <w:rsid w:val="00C63EAB"/>
    <w:rsid w:val="00C6411C"/>
    <w:rsid w:val="00C64451"/>
    <w:rsid w:val="00C64474"/>
    <w:rsid w:val="00C65114"/>
    <w:rsid w:val="00C652F7"/>
    <w:rsid w:val="00C65328"/>
    <w:rsid w:val="00C65B81"/>
    <w:rsid w:val="00C65F91"/>
    <w:rsid w:val="00C660B3"/>
    <w:rsid w:val="00C66264"/>
    <w:rsid w:val="00C66443"/>
    <w:rsid w:val="00C66927"/>
    <w:rsid w:val="00C67185"/>
    <w:rsid w:val="00C671AC"/>
    <w:rsid w:val="00C67275"/>
    <w:rsid w:val="00C67B49"/>
    <w:rsid w:val="00C67EF1"/>
    <w:rsid w:val="00C70351"/>
    <w:rsid w:val="00C704AE"/>
    <w:rsid w:val="00C705B2"/>
    <w:rsid w:val="00C7060E"/>
    <w:rsid w:val="00C70968"/>
    <w:rsid w:val="00C70B6F"/>
    <w:rsid w:val="00C70DF4"/>
    <w:rsid w:val="00C714AE"/>
    <w:rsid w:val="00C71531"/>
    <w:rsid w:val="00C7164A"/>
    <w:rsid w:val="00C71D92"/>
    <w:rsid w:val="00C72A92"/>
    <w:rsid w:val="00C72ECE"/>
    <w:rsid w:val="00C730DD"/>
    <w:rsid w:val="00C732D9"/>
    <w:rsid w:val="00C73CF1"/>
    <w:rsid w:val="00C73D82"/>
    <w:rsid w:val="00C74435"/>
    <w:rsid w:val="00C745AD"/>
    <w:rsid w:val="00C74762"/>
    <w:rsid w:val="00C7496D"/>
    <w:rsid w:val="00C74BC0"/>
    <w:rsid w:val="00C74E4C"/>
    <w:rsid w:val="00C75811"/>
    <w:rsid w:val="00C75BA7"/>
    <w:rsid w:val="00C75D99"/>
    <w:rsid w:val="00C75F22"/>
    <w:rsid w:val="00C760A9"/>
    <w:rsid w:val="00C76FBD"/>
    <w:rsid w:val="00C813D9"/>
    <w:rsid w:val="00C816B9"/>
    <w:rsid w:val="00C81CCF"/>
    <w:rsid w:val="00C8268F"/>
    <w:rsid w:val="00C8296B"/>
    <w:rsid w:val="00C82D04"/>
    <w:rsid w:val="00C82E4C"/>
    <w:rsid w:val="00C82E52"/>
    <w:rsid w:val="00C83894"/>
    <w:rsid w:val="00C83B02"/>
    <w:rsid w:val="00C83E7D"/>
    <w:rsid w:val="00C8414D"/>
    <w:rsid w:val="00C845F7"/>
    <w:rsid w:val="00C84BD0"/>
    <w:rsid w:val="00C84CF1"/>
    <w:rsid w:val="00C84DBB"/>
    <w:rsid w:val="00C85053"/>
    <w:rsid w:val="00C852AD"/>
    <w:rsid w:val="00C855A7"/>
    <w:rsid w:val="00C859D7"/>
    <w:rsid w:val="00C85B3C"/>
    <w:rsid w:val="00C862B5"/>
    <w:rsid w:val="00C865F0"/>
    <w:rsid w:val="00C86743"/>
    <w:rsid w:val="00C87096"/>
    <w:rsid w:val="00C878A1"/>
    <w:rsid w:val="00C87E56"/>
    <w:rsid w:val="00C87E7F"/>
    <w:rsid w:val="00C90A96"/>
    <w:rsid w:val="00C90F84"/>
    <w:rsid w:val="00C9120C"/>
    <w:rsid w:val="00C91504"/>
    <w:rsid w:val="00C915E0"/>
    <w:rsid w:val="00C91B24"/>
    <w:rsid w:val="00C91C13"/>
    <w:rsid w:val="00C925D4"/>
    <w:rsid w:val="00C928B4"/>
    <w:rsid w:val="00C92E80"/>
    <w:rsid w:val="00C937C0"/>
    <w:rsid w:val="00C939A7"/>
    <w:rsid w:val="00C93A65"/>
    <w:rsid w:val="00C93DE5"/>
    <w:rsid w:val="00C9451C"/>
    <w:rsid w:val="00C9485E"/>
    <w:rsid w:val="00C94A4D"/>
    <w:rsid w:val="00C94C21"/>
    <w:rsid w:val="00C95224"/>
    <w:rsid w:val="00C95508"/>
    <w:rsid w:val="00C95D4F"/>
    <w:rsid w:val="00C95F10"/>
    <w:rsid w:val="00C96063"/>
    <w:rsid w:val="00C9660B"/>
    <w:rsid w:val="00C9670D"/>
    <w:rsid w:val="00C9771B"/>
    <w:rsid w:val="00CA0570"/>
    <w:rsid w:val="00CA074C"/>
    <w:rsid w:val="00CA077B"/>
    <w:rsid w:val="00CA0AD1"/>
    <w:rsid w:val="00CA12DF"/>
    <w:rsid w:val="00CA1BBE"/>
    <w:rsid w:val="00CA1FDB"/>
    <w:rsid w:val="00CA210F"/>
    <w:rsid w:val="00CA2383"/>
    <w:rsid w:val="00CA2A72"/>
    <w:rsid w:val="00CA32F2"/>
    <w:rsid w:val="00CA3311"/>
    <w:rsid w:val="00CA331E"/>
    <w:rsid w:val="00CA3400"/>
    <w:rsid w:val="00CA3507"/>
    <w:rsid w:val="00CA377B"/>
    <w:rsid w:val="00CA3BA2"/>
    <w:rsid w:val="00CA3DE8"/>
    <w:rsid w:val="00CA40E4"/>
    <w:rsid w:val="00CA428D"/>
    <w:rsid w:val="00CA4343"/>
    <w:rsid w:val="00CA46E2"/>
    <w:rsid w:val="00CA4870"/>
    <w:rsid w:val="00CA4997"/>
    <w:rsid w:val="00CA4DB7"/>
    <w:rsid w:val="00CA51FD"/>
    <w:rsid w:val="00CA536B"/>
    <w:rsid w:val="00CA580C"/>
    <w:rsid w:val="00CA5AEA"/>
    <w:rsid w:val="00CA5F15"/>
    <w:rsid w:val="00CA63BF"/>
    <w:rsid w:val="00CA6495"/>
    <w:rsid w:val="00CA660D"/>
    <w:rsid w:val="00CA6874"/>
    <w:rsid w:val="00CA699A"/>
    <w:rsid w:val="00CA6F64"/>
    <w:rsid w:val="00CA7256"/>
    <w:rsid w:val="00CA7F5F"/>
    <w:rsid w:val="00CB046E"/>
    <w:rsid w:val="00CB0C70"/>
    <w:rsid w:val="00CB114D"/>
    <w:rsid w:val="00CB1CB0"/>
    <w:rsid w:val="00CB1E16"/>
    <w:rsid w:val="00CB1E7F"/>
    <w:rsid w:val="00CB276D"/>
    <w:rsid w:val="00CB2BD4"/>
    <w:rsid w:val="00CB2C7D"/>
    <w:rsid w:val="00CB3059"/>
    <w:rsid w:val="00CB3900"/>
    <w:rsid w:val="00CB39D5"/>
    <w:rsid w:val="00CB4752"/>
    <w:rsid w:val="00CB4C4C"/>
    <w:rsid w:val="00CB4E66"/>
    <w:rsid w:val="00CB5046"/>
    <w:rsid w:val="00CB5230"/>
    <w:rsid w:val="00CB5607"/>
    <w:rsid w:val="00CB5869"/>
    <w:rsid w:val="00CB5A8A"/>
    <w:rsid w:val="00CB6051"/>
    <w:rsid w:val="00CB6295"/>
    <w:rsid w:val="00CB672B"/>
    <w:rsid w:val="00CB6B59"/>
    <w:rsid w:val="00CB6B61"/>
    <w:rsid w:val="00CB6E4F"/>
    <w:rsid w:val="00CB71A1"/>
    <w:rsid w:val="00CC0323"/>
    <w:rsid w:val="00CC03FF"/>
    <w:rsid w:val="00CC055D"/>
    <w:rsid w:val="00CC079E"/>
    <w:rsid w:val="00CC07E2"/>
    <w:rsid w:val="00CC15A7"/>
    <w:rsid w:val="00CC18D5"/>
    <w:rsid w:val="00CC1EB4"/>
    <w:rsid w:val="00CC1FFA"/>
    <w:rsid w:val="00CC22A9"/>
    <w:rsid w:val="00CC23DE"/>
    <w:rsid w:val="00CC25CD"/>
    <w:rsid w:val="00CC296F"/>
    <w:rsid w:val="00CC29F6"/>
    <w:rsid w:val="00CC2C14"/>
    <w:rsid w:val="00CC2E9F"/>
    <w:rsid w:val="00CC2EC5"/>
    <w:rsid w:val="00CC3320"/>
    <w:rsid w:val="00CC35A1"/>
    <w:rsid w:val="00CC3983"/>
    <w:rsid w:val="00CC3DD9"/>
    <w:rsid w:val="00CC41EF"/>
    <w:rsid w:val="00CC4384"/>
    <w:rsid w:val="00CC460F"/>
    <w:rsid w:val="00CC470A"/>
    <w:rsid w:val="00CC49EB"/>
    <w:rsid w:val="00CC509C"/>
    <w:rsid w:val="00CC5A05"/>
    <w:rsid w:val="00CC5A83"/>
    <w:rsid w:val="00CC5D01"/>
    <w:rsid w:val="00CC6029"/>
    <w:rsid w:val="00CC6167"/>
    <w:rsid w:val="00CC6205"/>
    <w:rsid w:val="00CC677D"/>
    <w:rsid w:val="00CC739F"/>
    <w:rsid w:val="00CC7F54"/>
    <w:rsid w:val="00CD03EA"/>
    <w:rsid w:val="00CD0667"/>
    <w:rsid w:val="00CD0DD3"/>
    <w:rsid w:val="00CD2096"/>
    <w:rsid w:val="00CD2255"/>
    <w:rsid w:val="00CD22B2"/>
    <w:rsid w:val="00CD299B"/>
    <w:rsid w:val="00CD2AD4"/>
    <w:rsid w:val="00CD3485"/>
    <w:rsid w:val="00CD3655"/>
    <w:rsid w:val="00CD3DA2"/>
    <w:rsid w:val="00CD4562"/>
    <w:rsid w:val="00CD45B5"/>
    <w:rsid w:val="00CD4775"/>
    <w:rsid w:val="00CD4863"/>
    <w:rsid w:val="00CD4A5C"/>
    <w:rsid w:val="00CD4AC0"/>
    <w:rsid w:val="00CD5294"/>
    <w:rsid w:val="00CD5390"/>
    <w:rsid w:val="00CD5608"/>
    <w:rsid w:val="00CD5951"/>
    <w:rsid w:val="00CD6200"/>
    <w:rsid w:val="00CD6503"/>
    <w:rsid w:val="00CD707D"/>
    <w:rsid w:val="00CD7654"/>
    <w:rsid w:val="00CD7CB3"/>
    <w:rsid w:val="00CD7CB8"/>
    <w:rsid w:val="00CD7D0A"/>
    <w:rsid w:val="00CD7DC2"/>
    <w:rsid w:val="00CE0063"/>
    <w:rsid w:val="00CE040F"/>
    <w:rsid w:val="00CE0B81"/>
    <w:rsid w:val="00CE1751"/>
    <w:rsid w:val="00CE1F7A"/>
    <w:rsid w:val="00CE1FBD"/>
    <w:rsid w:val="00CE2B09"/>
    <w:rsid w:val="00CE348C"/>
    <w:rsid w:val="00CE35E0"/>
    <w:rsid w:val="00CE3A5C"/>
    <w:rsid w:val="00CE3C4D"/>
    <w:rsid w:val="00CE3D46"/>
    <w:rsid w:val="00CE3DD6"/>
    <w:rsid w:val="00CE4122"/>
    <w:rsid w:val="00CE4250"/>
    <w:rsid w:val="00CE4276"/>
    <w:rsid w:val="00CE452E"/>
    <w:rsid w:val="00CE477C"/>
    <w:rsid w:val="00CE5009"/>
    <w:rsid w:val="00CE5510"/>
    <w:rsid w:val="00CE5786"/>
    <w:rsid w:val="00CE5B2B"/>
    <w:rsid w:val="00CE638A"/>
    <w:rsid w:val="00CE73E7"/>
    <w:rsid w:val="00CE7412"/>
    <w:rsid w:val="00CE748B"/>
    <w:rsid w:val="00CE7B09"/>
    <w:rsid w:val="00CE7CA7"/>
    <w:rsid w:val="00CF006B"/>
    <w:rsid w:val="00CF0444"/>
    <w:rsid w:val="00CF07CC"/>
    <w:rsid w:val="00CF094B"/>
    <w:rsid w:val="00CF0D6B"/>
    <w:rsid w:val="00CF1BE7"/>
    <w:rsid w:val="00CF1DF7"/>
    <w:rsid w:val="00CF21EE"/>
    <w:rsid w:val="00CF2341"/>
    <w:rsid w:val="00CF2F7C"/>
    <w:rsid w:val="00CF3176"/>
    <w:rsid w:val="00CF3579"/>
    <w:rsid w:val="00CF37D6"/>
    <w:rsid w:val="00CF3A0E"/>
    <w:rsid w:val="00CF3CAE"/>
    <w:rsid w:val="00CF3FED"/>
    <w:rsid w:val="00CF43D8"/>
    <w:rsid w:val="00CF49EA"/>
    <w:rsid w:val="00CF4B77"/>
    <w:rsid w:val="00CF4C0D"/>
    <w:rsid w:val="00CF57AC"/>
    <w:rsid w:val="00CF65C5"/>
    <w:rsid w:val="00CF65F7"/>
    <w:rsid w:val="00CF661B"/>
    <w:rsid w:val="00CF6C59"/>
    <w:rsid w:val="00CF6EBF"/>
    <w:rsid w:val="00CF71A2"/>
    <w:rsid w:val="00CF7337"/>
    <w:rsid w:val="00CF7351"/>
    <w:rsid w:val="00CF7889"/>
    <w:rsid w:val="00CF7938"/>
    <w:rsid w:val="00CF7ABD"/>
    <w:rsid w:val="00CF7E57"/>
    <w:rsid w:val="00CF7FB6"/>
    <w:rsid w:val="00D0032A"/>
    <w:rsid w:val="00D00478"/>
    <w:rsid w:val="00D004D7"/>
    <w:rsid w:val="00D00E49"/>
    <w:rsid w:val="00D00F1F"/>
    <w:rsid w:val="00D010F0"/>
    <w:rsid w:val="00D01201"/>
    <w:rsid w:val="00D012D9"/>
    <w:rsid w:val="00D014D0"/>
    <w:rsid w:val="00D01902"/>
    <w:rsid w:val="00D01A42"/>
    <w:rsid w:val="00D02175"/>
    <w:rsid w:val="00D0221E"/>
    <w:rsid w:val="00D02EFB"/>
    <w:rsid w:val="00D02FC4"/>
    <w:rsid w:val="00D02FCB"/>
    <w:rsid w:val="00D03249"/>
    <w:rsid w:val="00D03CDC"/>
    <w:rsid w:val="00D042E4"/>
    <w:rsid w:val="00D04767"/>
    <w:rsid w:val="00D0496E"/>
    <w:rsid w:val="00D04FD4"/>
    <w:rsid w:val="00D05068"/>
    <w:rsid w:val="00D053AF"/>
    <w:rsid w:val="00D06196"/>
    <w:rsid w:val="00D06279"/>
    <w:rsid w:val="00D064CA"/>
    <w:rsid w:val="00D0662E"/>
    <w:rsid w:val="00D0664F"/>
    <w:rsid w:val="00D06CEF"/>
    <w:rsid w:val="00D07299"/>
    <w:rsid w:val="00D07B54"/>
    <w:rsid w:val="00D10256"/>
    <w:rsid w:val="00D1055B"/>
    <w:rsid w:val="00D10A5D"/>
    <w:rsid w:val="00D10D30"/>
    <w:rsid w:val="00D10E00"/>
    <w:rsid w:val="00D10F05"/>
    <w:rsid w:val="00D1180D"/>
    <w:rsid w:val="00D11A8D"/>
    <w:rsid w:val="00D11BA6"/>
    <w:rsid w:val="00D12146"/>
    <w:rsid w:val="00D1289D"/>
    <w:rsid w:val="00D12F0B"/>
    <w:rsid w:val="00D13641"/>
    <w:rsid w:val="00D145E9"/>
    <w:rsid w:val="00D14994"/>
    <w:rsid w:val="00D14C68"/>
    <w:rsid w:val="00D14F5B"/>
    <w:rsid w:val="00D1505F"/>
    <w:rsid w:val="00D15241"/>
    <w:rsid w:val="00D152E3"/>
    <w:rsid w:val="00D154D3"/>
    <w:rsid w:val="00D155E1"/>
    <w:rsid w:val="00D1572B"/>
    <w:rsid w:val="00D15E25"/>
    <w:rsid w:val="00D16396"/>
    <w:rsid w:val="00D17ADE"/>
    <w:rsid w:val="00D17F94"/>
    <w:rsid w:val="00D204E2"/>
    <w:rsid w:val="00D20C1B"/>
    <w:rsid w:val="00D21029"/>
    <w:rsid w:val="00D212A0"/>
    <w:rsid w:val="00D224B2"/>
    <w:rsid w:val="00D227B5"/>
    <w:rsid w:val="00D2287B"/>
    <w:rsid w:val="00D228DA"/>
    <w:rsid w:val="00D22969"/>
    <w:rsid w:val="00D22CD3"/>
    <w:rsid w:val="00D23C39"/>
    <w:rsid w:val="00D23E05"/>
    <w:rsid w:val="00D24152"/>
    <w:rsid w:val="00D24473"/>
    <w:rsid w:val="00D24A9A"/>
    <w:rsid w:val="00D24D78"/>
    <w:rsid w:val="00D2509A"/>
    <w:rsid w:val="00D25595"/>
    <w:rsid w:val="00D25807"/>
    <w:rsid w:val="00D258A1"/>
    <w:rsid w:val="00D2592F"/>
    <w:rsid w:val="00D25A4F"/>
    <w:rsid w:val="00D25E01"/>
    <w:rsid w:val="00D26248"/>
    <w:rsid w:val="00D2660B"/>
    <w:rsid w:val="00D26DBD"/>
    <w:rsid w:val="00D2706A"/>
    <w:rsid w:val="00D27414"/>
    <w:rsid w:val="00D27841"/>
    <w:rsid w:val="00D27A42"/>
    <w:rsid w:val="00D27CD2"/>
    <w:rsid w:val="00D27FA7"/>
    <w:rsid w:val="00D303F2"/>
    <w:rsid w:val="00D306D9"/>
    <w:rsid w:val="00D30730"/>
    <w:rsid w:val="00D30A57"/>
    <w:rsid w:val="00D30C10"/>
    <w:rsid w:val="00D30CD8"/>
    <w:rsid w:val="00D31397"/>
    <w:rsid w:val="00D3170D"/>
    <w:rsid w:val="00D31D09"/>
    <w:rsid w:val="00D32308"/>
    <w:rsid w:val="00D3234F"/>
    <w:rsid w:val="00D323FD"/>
    <w:rsid w:val="00D32689"/>
    <w:rsid w:val="00D326E3"/>
    <w:rsid w:val="00D32714"/>
    <w:rsid w:val="00D32806"/>
    <w:rsid w:val="00D3285D"/>
    <w:rsid w:val="00D32ADB"/>
    <w:rsid w:val="00D32B34"/>
    <w:rsid w:val="00D336A8"/>
    <w:rsid w:val="00D33919"/>
    <w:rsid w:val="00D33A93"/>
    <w:rsid w:val="00D33E7E"/>
    <w:rsid w:val="00D34772"/>
    <w:rsid w:val="00D35906"/>
    <w:rsid w:val="00D35E3F"/>
    <w:rsid w:val="00D361D9"/>
    <w:rsid w:val="00D365A8"/>
    <w:rsid w:val="00D3677B"/>
    <w:rsid w:val="00D367E4"/>
    <w:rsid w:val="00D36EEE"/>
    <w:rsid w:val="00D3734B"/>
    <w:rsid w:val="00D3738F"/>
    <w:rsid w:val="00D375CD"/>
    <w:rsid w:val="00D37892"/>
    <w:rsid w:val="00D37A38"/>
    <w:rsid w:val="00D40545"/>
    <w:rsid w:val="00D4067A"/>
    <w:rsid w:val="00D406CD"/>
    <w:rsid w:val="00D40833"/>
    <w:rsid w:val="00D41093"/>
    <w:rsid w:val="00D41442"/>
    <w:rsid w:val="00D418E1"/>
    <w:rsid w:val="00D42058"/>
    <w:rsid w:val="00D4276E"/>
    <w:rsid w:val="00D428EE"/>
    <w:rsid w:val="00D42C14"/>
    <w:rsid w:val="00D42D88"/>
    <w:rsid w:val="00D43111"/>
    <w:rsid w:val="00D43420"/>
    <w:rsid w:val="00D4374E"/>
    <w:rsid w:val="00D438D3"/>
    <w:rsid w:val="00D44694"/>
    <w:rsid w:val="00D44B78"/>
    <w:rsid w:val="00D44F7D"/>
    <w:rsid w:val="00D4502D"/>
    <w:rsid w:val="00D4506A"/>
    <w:rsid w:val="00D45246"/>
    <w:rsid w:val="00D454ED"/>
    <w:rsid w:val="00D455AD"/>
    <w:rsid w:val="00D45854"/>
    <w:rsid w:val="00D46128"/>
    <w:rsid w:val="00D465D4"/>
    <w:rsid w:val="00D46A47"/>
    <w:rsid w:val="00D46CD7"/>
    <w:rsid w:val="00D46E15"/>
    <w:rsid w:val="00D47797"/>
    <w:rsid w:val="00D47C2E"/>
    <w:rsid w:val="00D47F54"/>
    <w:rsid w:val="00D505E5"/>
    <w:rsid w:val="00D5089F"/>
    <w:rsid w:val="00D50B91"/>
    <w:rsid w:val="00D50E2C"/>
    <w:rsid w:val="00D50EFD"/>
    <w:rsid w:val="00D51188"/>
    <w:rsid w:val="00D51660"/>
    <w:rsid w:val="00D51807"/>
    <w:rsid w:val="00D51D45"/>
    <w:rsid w:val="00D52331"/>
    <w:rsid w:val="00D5265A"/>
    <w:rsid w:val="00D5279D"/>
    <w:rsid w:val="00D528D3"/>
    <w:rsid w:val="00D52F64"/>
    <w:rsid w:val="00D5336C"/>
    <w:rsid w:val="00D53655"/>
    <w:rsid w:val="00D53F0F"/>
    <w:rsid w:val="00D540BF"/>
    <w:rsid w:val="00D5467D"/>
    <w:rsid w:val="00D54B1B"/>
    <w:rsid w:val="00D54E85"/>
    <w:rsid w:val="00D54FEA"/>
    <w:rsid w:val="00D55005"/>
    <w:rsid w:val="00D55171"/>
    <w:rsid w:val="00D5536F"/>
    <w:rsid w:val="00D553C9"/>
    <w:rsid w:val="00D554C9"/>
    <w:rsid w:val="00D558A9"/>
    <w:rsid w:val="00D55B12"/>
    <w:rsid w:val="00D55CF2"/>
    <w:rsid w:val="00D55D74"/>
    <w:rsid w:val="00D56071"/>
    <w:rsid w:val="00D5626D"/>
    <w:rsid w:val="00D56991"/>
    <w:rsid w:val="00D56ACD"/>
    <w:rsid w:val="00D56DA6"/>
    <w:rsid w:val="00D57159"/>
    <w:rsid w:val="00D57214"/>
    <w:rsid w:val="00D574CA"/>
    <w:rsid w:val="00D57542"/>
    <w:rsid w:val="00D57C3A"/>
    <w:rsid w:val="00D57E97"/>
    <w:rsid w:val="00D57EF3"/>
    <w:rsid w:val="00D60297"/>
    <w:rsid w:val="00D60650"/>
    <w:rsid w:val="00D60E12"/>
    <w:rsid w:val="00D60F37"/>
    <w:rsid w:val="00D61050"/>
    <w:rsid w:val="00D61456"/>
    <w:rsid w:val="00D6152C"/>
    <w:rsid w:val="00D61998"/>
    <w:rsid w:val="00D61D51"/>
    <w:rsid w:val="00D61EA0"/>
    <w:rsid w:val="00D620A2"/>
    <w:rsid w:val="00D62172"/>
    <w:rsid w:val="00D621A9"/>
    <w:rsid w:val="00D622A2"/>
    <w:rsid w:val="00D627B2"/>
    <w:rsid w:val="00D627C9"/>
    <w:rsid w:val="00D62F08"/>
    <w:rsid w:val="00D63701"/>
    <w:rsid w:val="00D63A56"/>
    <w:rsid w:val="00D64296"/>
    <w:rsid w:val="00D6446F"/>
    <w:rsid w:val="00D646B6"/>
    <w:rsid w:val="00D6539A"/>
    <w:rsid w:val="00D65ADA"/>
    <w:rsid w:val="00D65DE1"/>
    <w:rsid w:val="00D65F3D"/>
    <w:rsid w:val="00D65F66"/>
    <w:rsid w:val="00D6643B"/>
    <w:rsid w:val="00D66629"/>
    <w:rsid w:val="00D66DFD"/>
    <w:rsid w:val="00D66E96"/>
    <w:rsid w:val="00D67498"/>
    <w:rsid w:val="00D704E4"/>
    <w:rsid w:val="00D70A94"/>
    <w:rsid w:val="00D70DE8"/>
    <w:rsid w:val="00D7170E"/>
    <w:rsid w:val="00D72416"/>
    <w:rsid w:val="00D724BA"/>
    <w:rsid w:val="00D72D18"/>
    <w:rsid w:val="00D72EF5"/>
    <w:rsid w:val="00D73567"/>
    <w:rsid w:val="00D73678"/>
    <w:rsid w:val="00D73D6B"/>
    <w:rsid w:val="00D7400D"/>
    <w:rsid w:val="00D7409D"/>
    <w:rsid w:val="00D74158"/>
    <w:rsid w:val="00D74199"/>
    <w:rsid w:val="00D74361"/>
    <w:rsid w:val="00D74B65"/>
    <w:rsid w:val="00D74FBC"/>
    <w:rsid w:val="00D750AD"/>
    <w:rsid w:val="00D75A5D"/>
    <w:rsid w:val="00D76000"/>
    <w:rsid w:val="00D763AA"/>
    <w:rsid w:val="00D7640E"/>
    <w:rsid w:val="00D76B3D"/>
    <w:rsid w:val="00D76C5E"/>
    <w:rsid w:val="00D76D7B"/>
    <w:rsid w:val="00D76DD0"/>
    <w:rsid w:val="00D76EA3"/>
    <w:rsid w:val="00D77070"/>
    <w:rsid w:val="00D773A4"/>
    <w:rsid w:val="00D775C0"/>
    <w:rsid w:val="00D77696"/>
    <w:rsid w:val="00D778DA"/>
    <w:rsid w:val="00D801D0"/>
    <w:rsid w:val="00D806BB"/>
    <w:rsid w:val="00D807B4"/>
    <w:rsid w:val="00D80FCC"/>
    <w:rsid w:val="00D811F2"/>
    <w:rsid w:val="00D812D6"/>
    <w:rsid w:val="00D814D0"/>
    <w:rsid w:val="00D81E34"/>
    <w:rsid w:val="00D82098"/>
    <w:rsid w:val="00D820E2"/>
    <w:rsid w:val="00D8212C"/>
    <w:rsid w:val="00D82170"/>
    <w:rsid w:val="00D82368"/>
    <w:rsid w:val="00D82691"/>
    <w:rsid w:val="00D82782"/>
    <w:rsid w:val="00D828D6"/>
    <w:rsid w:val="00D82BD3"/>
    <w:rsid w:val="00D83039"/>
    <w:rsid w:val="00D833E2"/>
    <w:rsid w:val="00D83F41"/>
    <w:rsid w:val="00D83FDA"/>
    <w:rsid w:val="00D844F5"/>
    <w:rsid w:val="00D84D8C"/>
    <w:rsid w:val="00D8522F"/>
    <w:rsid w:val="00D85945"/>
    <w:rsid w:val="00D8638D"/>
    <w:rsid w:val="00D86607"/>
    <w:rsid w:val="00D86C52"/>
    <w:rsid w:val="00D86C65"/>
    <w:rsid w:val="00D8700F"/>
    <w:rsid w:val="00D87067"/>
    <w:rsid w:val="00D8787E"/>
    <w:rsid w:val="00D87B36"/>
    <w:rsid w:val="00D87FDC"/>
    <w:rsid w:val="00D904E1"/>
    <w:rsid w:val="00D90729"/>
    <w:rsid w:val="00D90A55"/>
    <w:rsid w:val="00D90AD8"/>
    <w:rsid w:val="00D91CCA"/>
    <w:rsid w:val="00D91E66"/>
    <w:rsid w:val="00D9275E"/>
    <w:rsid w:val="00D9287B"/>
    <w:rsid w:val="00D92A9F"/>
    <w:rsid w:val="00D92AAB"/>
    <w:rsid w:val="00D92C1C"/>
    <w:rsid w:val="00D92C81"/>
    <w:rsid w:val="00D93327"/>
    <w:rsid w:val="00D9333C"/>
    <w:rsid w:val="00D935BB"/>
    <w:rsid w:val="00D936A0"/>
    <w:rsid w:val="00D93968"/>
    <w:rsid w:val="00D9408D"/>
    <w:rsid w:val="00D943C3"/>
    <w:rsid w:val="00D943E3"/>
    <w:rsid w:val="00D94A17"/>
    <w:rsid w:val="00D95434"/>
    <w:rsid w:val="00D95C5D"/>
    <w:rsid w:val="00D96345"/>
    <w:rsid w:val="00D96999"/>
    <w:rsid w:val="00D9699A"/>
    <w:rsid w:val="00D96A28"/>
    <w:rsid w:val="00D96C62"/>
    <w:rsid w:val="00D96F59"/>
    <w:rsid w:val="00D9710A"/>
    <w:rsid w:val="00D97A12"/>
    <w:rsid w:val="00D97E70"/>
    <w:rsid w:val="00DA04C1"/>
    <w:rsid w:val="00DA0555"/>
    <w:rsid w:val="00DA0AEF"/>
    <w:rsid w:val="00DA0B17"/>
    <w:rsid w:val="00DA13F4"/>
    <w:rsid w:val="00DA1442"/>
    <w:rsid w:val="00DA18F4"/>
    <w:rsid w:val="00DA253C"/>
    <w:rsid w:val="00DA2C84"/>
    <w:rsid w:val="00DA3118"/>
    <w:rsid w:val="00DA3373"/>
    <w:rsid w:val="00DA33F9"/>
    <w:rsid w:val="00DA37CD"/>
    <w:rsid w:val="00DA3A56"/>
    <w:rsid w:val="00DA4DE8"/>
    <w:rsid w:val="00DA53B9"/>
    <w:rsid w:val="00DA53C5"/>
    <w:rsid w:val="00DA59FF"/>
    <w:rsid w:val="00DA5BA7"/>
    <w:rsid w:val="00DA6271"/>
    <w:rsid w:val="00DA6602"/>
    <w:rsid w:val="00DA6A05"/>
    <w:rsid w:val="00DA6B0D"/>
    <w:rsid w:val="00DA6EF9"/>
    <w:rsid w:val="00DA6F38"/>
    <w:rsid w:val="00DA7336"/>
    <w:rsid w:val="00DA74B1"/>
    <w:rsid w:val="00DA79C0"/>
    <w:rsid w:val="00DA7D32"/>
    <w:rsid w:val="00DB0A8E"/>
    <w:rsid w:val="00DB0C5F"/>
    <w:rsid w:val="00DB1206"/>
    <w:rsid w:val="00DB14C0"/>
    <w:rsid w:val="00DB26D3"/>
    <w:rsid w:val="00DB279E"/>
    <w:rsid w:val="00DB285C"/>
    <w:rsid w:val="00DB2A14"/>
    <w:rsid w:val="00DB2B34"/>
    <w:rsid w:val="00DB2FAB"/>
    <w:rsid w:val="00DB3593"/>
    <w:rsid w:val="00DB3606"/>
    <w:rsid w:val="00DB3AAE"/>
    <w:rsid w:val="00DB3C97"/>
    <w:rsid w:val="00DB539C"/>
    <w:rsid w:val="00DB55ED"/>
    <w:rsid w:val="00DB5B3D"/>
    <w:rsid w:val="00DB5BFD"/>
    <w:rsid w:val="00DB5E64"/>
    <w:rsid w:val="00DB645C"/>
    <w:rsid w:val="00DB653E"/>
    <w:rsid w:val="00DB6E4A"/>
    <w:rsid w:val="00DB7010"/>
    <w:rsid w:val="00DB7B40"/>
    <w:rsid w:val="00DB7BDE"/>
    <w:rsid w:val="00DB7CEA"/>
    <w:rsid w:val="00DB7DB8"/>
    <w:rsid w:val="00DC0840"/>
    <w:rsid w:val="00DC0B98"/>
    <w:rsid w:val="00DC0E3E"/>
    <w:rsid w:val="00DC174B"/>
    <w:rsid w:val="00DC1AB9"/>
    <w:rsid w:val="00DC1D01"/>
    <w:rsid w:val="00DC21AE"/>
    <w:rsid w:val="00DC25DD"/>
    <w:rsid w:val="00DC28B1"/>
    <w:rsid w:val="00DC2968"/>
    <w:rsid w:val="00DC3005"/>
    <w:rsid w:val="00DC306C"/>
    <w:rsid w:val="00DC32C2"/>
    <w:rsid w:val="00DC362D"/>
    <w:rsid w:val="00DC3A10"/>
    <w:rsid w:val="00DC3BA2"/>
    <w:rsid w:val="00DC3CFA"/>
    <w:rsid w:val="00DC3DDC"/>
    <w:rsid w:val="00DC3E76"/>
    <w:rsid w:val="00DC3FBA"/>
    <w:rsid w:val="00DC44AF"/>
    <w:rsid w:val="00DC44FE"/>
    <w:rsid w:val="00DC4599"/>
    <w:rsid w:val="00DC490E"/>
    <w:rsid w:val="00DC4A4C"/>
    <w:rsid w:val="00DC4E7B"/>
    <w:rsid w:val="00DC4F70"/>
    <w:rsid w:val="00DC55A4"/>
    <w:rsid w:val="00DC5B94"/>
    <w:rsid w:val="00DC5C9B"/>
    <w:rsid w:val="00DC5FD9"/>
    <w:rsid w:val="00DC60E7"/>
    <w:rsid w:val="00DC64D8"/>
    <w:rsid w:val="00DC651B"/>
    <w:rsid w:val="00DC6749"/>
    <w:rsid w:val="00DC6A5E"/>
    <w:rsid w:val="00DC6F0C"/>
    <w:rsid w:val="00DC77AA"/>
    <w:rsid w:val="00DC7921"/>
    <w:rsid w:val="00DC7CFE"/>
    <w:rsid w:val="00DC7FA3"/>
    <w:rsid w:val="00DD0A71"/>
    <w:rsid w:val="00DD0AAF"/>
    <w:rsid w:val="00DD0D72"/>
    <w:rsid w:val="00DD1136"/>
    <w:rsid w:val="00DD1A3D"/>
    <w:rsid w:val="00DD1D24"/>
    <w:rsid w:val="00DD2161"/>
    <w:rsid w:val="00DD26E9"/>
    <w:rsid w:val="00DD289F"/>
    <w:rsid w:val="00DD2B39"/>
    <w:rsid w:val="00DD315E"/>
    <w:rsid w:val="00DD3295"/>
    <w:rsid w:val="00DD3CE2"/>
    <w:rsid w:val="00DD44D5"/>
    <w:rsid w:val="00DD4743"/>
    <w:rsid w:val="00DD48B1"/>
    <w:rsid w:val="00DD4BBE"/>
    <w:rsid w:val="00DD57DC"/>
    <w:rsid w:val="00DD5CC5"/>
    <w:rsid w:val="00DD5CCE"/>
    <w:rsid w:val="00DD6190"/>
    <w:rsid w:val="00DD627D"/>
    <w:rsid w:val="00DD6444"/>
    <w:rsid w:val="00DD6AAF"/>
    <w:rsid w:val="00DD6CA8"/>
    <w:rsid w:val="00DD6F00"/>
    <w:rsid w:val="00DD709A"/>
    <w:rsid w:val="00DD7474"/>
    <w:rsid w:val="00DD78E7"/>
    <w:rsid w:val="00DE05DD"/>
    <w:rsid w:val="00DE0600"/>
    <w:rsid w:val="00DE0614"/>
    <w:rsid w:val="00DE0799"/>
    <w:rsid w:val="00DE0A81"/>
    <w:rsid w:val="00DE134E"/>
    <w:rsid w:val="00DE16C4"/>
    <w:rsid w:val="00DE1E4A"/>
    <w:rsid w:val="00DE1EA2"/>
    <w:rsid w:val="00DE222D"/>
    <w:rsid w:val="00DE24E7"/>
    <w:rsid w:val="00DE25ED"/>
    <w:rsid w:val="00DE260C"/>
    <w:rsid w:val="00DE2E08"/>
    <w:rsid w:val="00DE3021"/>
    <w:rsid w:val="00DE35B8"/>
    <w:rsid w:val="00DE3785"/>
    <w:rsid w:val="00DE37A3"/>
    <w:rsid w:val="00DE3A7C"/>
    <w:rsid w:val="00DE3C48"/>
    <w:rsid w:val="00DE3DAD"/>
    <w:rsid w:val="00DE3F02"/>
    <w:rsid w:val="00DE432F"/>
    <w:rsid w:val="00DE43B6"/>
    <w:rsid w:val="00DE477D"/>
    <w:rsid w:val="00DE48E1"/>
    <w:rsid w:val="00DE4913"/>
    <w:rsid w:val="00DE4A48"/>
    <w:rsid w:val="00DE4BB2"/>
    <w:rsid w:val="00DE4DF7"/>
    <w:rsid w:val="00DE55A7"/>
    <w:rsid w:val="00DE5608"/>
    <w:rsid w:val="00DE58A3"/>
    <w:rsid w:val="00DE5AD3"/>
    <w:rsid w:val="00DE5F0E"/>
    <w:rsid w:val="00DE5F42"/>
    <w:rsid w:val="00DE66D8"/>
    <w:rsid w:val="00DE690C"/>
    <w:rsid w:val="00DE6DDC"/>
    <w:rsid w:val="00DE6E09"/>
    <w:rsid w:val="00DE70C7"/>
    <w:rsid w:val="00DE7937"/>
    <w:rsid w:val="00DE7F2C"/>
    <w:rsid w:val="00DF03DE"/>
    <w:rsid w:val="00DF0409"/>
    <w:rsid w:val="00DF058D"/>
    <w:rsid w:val="00DF0C19"/>
    <w:rsid w:val="00DF0C4E"/>
    <w:rsid w:val="00DF0DD9"/>
    <w:rsid w:val="00DF1376"/>
    <w:rsid w:val="00DF169C"/>
    <w:rsid w:val="00DF1B07"/>
    <w:rsid w:val="00DF1CC9"/>
    <w:rsid w:val="00DF1F9C"/>
    <w:rsid w:val="00DF2496"/>
    <w:rsid w:val="00DF294E"/>
    <w:rsid w:val="00DF2973"/>
    <w:rsid w:val="00DF2F61"/>
    <w:rsid w:val="00DF31C1"/>
    <w:rsid w:val="00DF321D"/>
    <w:rsid w:val="00DF39AD"/>
    <w:rsid w:val="00DF4057"/>
    <w:rsid w:val="00DF4097"/>
    <w:rsid w:val="00DF4167"/>
    <w:rsid w:val="00DF4186"/>
    <w:rsid w:val="00DF46A5"/>
    <w:rsid w:val="00DF475D"/>
    <w:rsid w:val="00DF4A6A"/>
    <w:rsid w:val="00DF4DC3"/>
    <w:rsid w:val="00DF52A3"/>
    <w:rsid w:val="00DF52FB"/>
    <w:rsid w:val="00DF5CC4"/>
    <w:rsid w:val="00DF5D34"/>
    <w:rsid w:val="00DF6BA2"/>
    <w:rsid w:val="00DF7188"/>
    <w:rsid w:val="00DF7636"/>
    <w:rsid w:val="00DF76F0"/>
    <w:rsid w:val="00DF7D44"/>
    <w:rsid w:val="00DF7F14"/>
    <w:rsid w:val="00E00529"/>
    <w:rsid w:val="00E00719"/>
    <w:rsid w:val="00E00D15"/>
    <w:rsid w:val="00E0101D"/>
    <w:rsid w:val="00E01A0E"/>
    <w:rsid w:val="00E02076"/>
    <w:rsid w:val="00E020E5"/>
    <w:rsid w:val="00E0222C"/>
    <w:rsid w:val="00E0237B"/>
    <w:rsid w:val="00E02450"/>
    <w:rsid w:val="00E02BD2"/>
    <w:rsid w:val="00E02E1B"/>
    <w:rsid w:val="00E031AD"/>
    <w:rsid w:val="00E03702"/>
    <w:rsid w:val="00E03C66"/>
    <w:rsid w:val="00E03E25"/>
    <w:rsid w:val="00E042BD"/>
    <w:rsid w:val="00E04684"/>
    <w:rsid w:val="00E04AF2"/>
    <w:rsid w:val="00E04BF6"/>
    <w:rsid w:val="00E04E61"/>
    <w:rsid w:val="00E05059"/>
    <w:rsid w:val="00E054A1"/>
    <w:rsid w:val="00E05894"/>
    <w:rsid w:val="00E0599F"/>
    <w:rsid w:val="00E05B6D"/>
    <w:rsid w:val="00E05D1F"/>
    <w:rsid w:val="00E0672D"/>
    <w:rsid w:val="00E06915"/>
    <w:rsid w:val="00E06A48"/>
    <w:rsid w:val="00E06CBE"/>
    <w:rsid w:val="00E07554"/>
    <w:rsid w:val="00E07892"/>
    <w:rsid w:val="00E07B93"/>
    <w:rsid w:val="00E07C61"/>
    <w:rsid w:val="00E1002F"/>
    <w:rsid w:val="00E10BA3"/>
    <w:rsid w:val="00E10C06"/>
    <w:rsid w:val="00E110D9"/>
    <w:rsid w:val="00E111BB"/>
    <w:rsid w:val="00E11265"/>
    <w:rsid w:val="00E112AB"/>
    <w:rsid w:val="00E11AEF"/>
    <w:rsid w:val="00E11B40"/>
    <w:rsid w:val="00E120C8"/>
    <w:rsid w:val="00E12137"/>
    <w:rsid w:val="00E1288A"/>
    <w:rsid w:val="00E12E2E"/>
    <w:rsid w:val="00E1303A"/>
    <w:rsid w:val="00E13182"/>
    <w:rsid w:val="00E13254"/>
    <w:rsid w:val="00E13290"/>
    <w:rsid w:val="00E136A5"/>
    <w:rsid w:val="00E1372A"/>
    <w:rsid w:val="00E139B3"/>
    <w:rsid w:val="00E13D37"/>
    <w:rsid w:val="00E14C56"/>
    <w:rsid w:val="00E15529"/>
    <w:rsid w:val="00E155BB"/>
    <w:rsid w:val="00E155C6"/>
    <w:rsid w:val="00E15A2E"/>
    <w:rsid w:val="00E15D18"/>
    <w:rsid w:val="00E15EB6"/>
    <w:rsid w:val="00E15EF1"/>
    <w:rsid w:val="00E1682F"/>
    <w:rsid w:val="00E16A2B"/>
    <w:rsid w:val="00E202AD"/>
    <w:rsid w:val="00E20548"/>
    <w:rsid w:val="00E20DF0"/>
    <w:rsid w:val="00E211C3"/>
    <w:rsid w:val="00E21248"/>
    <w:rsid w:val="00E21A93"/>
    <w:rsid w:val="00E21F90"/>
    <w:rsid w:val="00E2218A"/>
    <w:rsid w:val="00E22330"/>
    <w:rsid w:val="00E22354"/>
    <w:rsid w:val="00E22843"/>
    <w:rsid w:val="00E22E07"/>
    <w:rsid w:val="00E23054"/>
    <w:rsid w:val="00E2307A"/>
    <w:rsid w:val="00E236D9"/>
    <w:rsid w:val="00E244D0"/>
    <w:rsid w:val="00E24C26"/>
    <w:rsid w:val="00E24FD6"/>
    <w:rsid w:val="00E254DF"/>
    <w:rsid w:val="00E25A0F"/>
    <w:rsid w:val="00E25E2D"/>
    <w:rsid w:val="00E25E50"/>
    <w:rsid w:val="00E25E7C"/>
    <w:rsid w:val="00E26363"/>
    <w:rsid w:val="00E26436"/>
    <w:rsid w:val="00E26AA9"/>
    <w:rsid w:val="00E270C0"/>
    <w:rsid w:val="00E27392"/>
    <w:rsid w:val="00E273EC"/>
    <w:rsid w:val="00E301B6"/>
    <w:rsid w:val="00E302C0"/>
    <w:rsid w:val="00E30852"/>
    <w:rsid w:val="00E30E91"/>
    <w:rsid w:val="00E312C9"/>
    <w:rsid w:val="00E31B74"/>
    <w:rsid w:val="00E31F7A"/>
    <w:rsid w:val="00E31FE9"/>
    <w:rsid w:val="00E3257D"/>
    <w:rsid w:val="00E330E0"/>
    <w:rsid w:val="00E337DF"/>
    <w:rsid w:val="00E338A4"/>
    <w:rsid w:val="00E33B22"/>
    <w:rsid w:val="00E33CF9"/>
    <w:rsid w:val="00E346AE"/>
    <w:rsid w:val="00E34E9E"/>
    <w:rsid w:val="00E351E1"/>
    <w:rsid w:val="00E356E7"/>
    <w:rsid w:val="00E35F5C"/>
    <w:rsid w:val="00E360B8"/>
    <w:rsid w:val="00E361BF"/>
    <w:rsid w:val="00E361E3"/>
    <w:rsid w:val="00E36448"/>
    <w:rsid w:val="00E365C2"/>
    <w:rsid w:val="00E373F4"/>
    <w:rsid w:val="00E37694"/>
    <w:rsid w:val="00E37A93"/>
    <w:rsid w:val="00E37B91"/>
    <w:rsid w:val="00E412E5"/>
    <w:rsid w:val="00E42118"/>
    <w:rsid w:val="00E42273"/>
    <w:rsid w:val="00E42469"/>
    <w:rsid w:val="00E433E5"/>
    <w:rsid w:val="00E436D5"/>
    <w:rsid w:val="00E43C82"/>
    <w:rsid w:val="00E43CDE"/>
    <w:rsid w:val="00E440F1"/>
    <w:rsid w:val="00E4423A"/>
    <w:rsid w:val="00E4475F"/>
    <w:rsid w:val="00E44A8F"/>
    <w:rsid w:val="00E450EE"/>
    <w:rsid w:val="00E45462"/>
    <w:rsid w:val="00E456DC"/>
    <w:rsid w:val="00E45EEF"/>
    <w:rsid w:val="00E45FDA"/>
    <w:rsid w:val="00E467D0"/>
    <w:rsid w:val="00E46BA4"/>
    <w:rsid w:val="00E46E5B"/>
    <w:rsid w:val="00E47044"/>
    <w:rsid w:val="00E478AC"/>
    <w:rsid w:val="00E5053E"/>
    <w:rsid w:val="00E5058B"/>
    <w:rsid w:val="00E50B7E"/>
    <w:rsid w:val="00E50DFB"/>
    <w:rsid w:val="00E50E1E"/>
    <w:rsid w:val="00E50F67"/>
    <w:rsid w:val="00E5188E"/>
    <w:rsid w:val="00E51CDE"/>
    <w:rsid w:val="00E51D70"/>
    <w:rsid w:val="00E5235D"/>
    <w:rsid w:val="00E527D8"/>
    <w:rsid w:val="00E52912"/>
    <w:rsid w:val="00E52DFB"/>
    <w:rsid w:val="00E53D9D"/>
    <w:rsid w:val="00E53FF2"/>
    <w:rsid w:val="00E5449A"/>
    <w:rsid w:val="00E5498F"/>
    <w:rsid w:val="00E54A9E"/>
    <w:rsid w:val="00E54DF4"/>
    <w:rsid w:val="00E54E08"/>
    <w:rsid w:val="00E54F23"/>
    <w:rsid w:val="00E557F6"/>
    <w:rsid w:val="00E55B91"/>
    <w:rsid w:val="00E55FB8"/>
    <w:rsid w:val="00E569D0"/>
    <w:rsid w:val="00E56B19"/>
    <w:rsid w:val="00E60150"/>
    <w:rsid w:val="00E60409"/>
    <w:rsid w:val="00E60AC4"/>
    <w:rsid w:val="00E60FA5"/>
    <w:rsid w:val="00E61217"/>
    <w:rsid w:val="00E613CD"/>
    <w:rsid w:val="00E617CE"/>
    <w:rsid w:val="00E61B55"/>
    <w:rsid w:val="00E61BC0"/>
    <w:rsid w:val="00E61D51"/>
    <w:rsid w:val="00E62359"/>
    <w:rsid w:val="00E623F6"/>
    <w:rsid w:val="00E62C5E"/>
    <w:rsid w:val="00E63696"/>
    <w:rsid w:val="00E642E6"/>
    <w:rsid w:val="00E649BC"/>
    <w:rsid w:val="00E64DC1"/>
    <w:rsid w:val="00E64E5A"/>
    <w:rsid w:val="00E64FE0"/>
    <w:rsid w:val="00E65659"/>
    <w:rsid w:val="00E657FF"/>
    <w:rsid w:val="00E65E5A"/>
    <w:rsid w:val="00E660A6"/>
    <w:rsid w:val="00E66504"/>
    <w:rsid w:val="00E6670C"/>
    <w:rsid w:val="00E66A9A"/>
    <w:rsid w:val="00E67834"/>
    <w:rsid w:val="00E67B6F"/>
    <w:rsid w:val="00E67DFF"/>
    <w:rsid w:val="00E70F62"/>
    <w:rsid w:val="00E713F7"/>
    <w:rsid w:val="00E71693"/>
    <w:rsid w:val="00E717C4"/>
    <w:rsid w:val="00E719EB"/>
    <w:rsid w:val="00E71C33"/>
    <w:rsid w:val="00E736F4"/>
    <w:rsid w:val="00E736FE"/>
    <w:rsid w:val="00E737F4"/>
    <w:rsid w:val="00E73D45"/>
    <w:rsid w:val="00E74696"/>
    <w:rsid w:val="00E747D7"/>
    <w:rsid w:val="00E74DBD"/>
    <w:rsid w:val="00E75235"/>
    <w:rsid w:val="00E7597B"/>
    <w:rsid w:val="00E75ACE"/>
    <w:rsid w:val="00E76B45"/>
    <w:rsid w:val="00E770DF"/>
    <w:rsid w:val="00E77502"/>
    <w:rsid w:val="00E775BB"/>
    <w:rsid w:val="00E7765D"/>
    <w:rsid w:val="00E7779E"/>
    <w:rsid w:val="00E778F7"/>
    <w:rsid w:val="00E77D0E"/>
    <w:rsid w:val="00E77D60"/>
    <w:rsid w:val="00E802E6"/>
    <w:rsid w:val="00E8039F"/>
    <w:rsid w:val="00E8049D"/>
    <w:rsid w:val="00E80A7A"/>
    <w:rsid w:val="00E80C15"/>
    <w:rsid w:val="00E80C22"/>
    <w:rsid w:val="00E80CCB"/>
    <w:rsid w:val="00E80FA3"/>
    <w:rsid w:val="00E81677"/>
    <w:rsid w:val="00E817BA"/>
    <w:rsid w:val="00E81A0D"/>
    <w:rsid w:val="00E81D19"/>
    <w:rsid w:val="00E82478"/>
    <w:rsid w:val="00E824C7"/>
    <w:rsid w:val="00E825F7"/>
    <w:rsid w:val="00E827A8"/>
    <w:rsid w:val="00E829C2"/>
    <w:rsid w:val="00E82CBF"/>
    <w:rsid w:val="00E82DDC"/>
    <w:rsid w:val="00E8343A"/>
    <w:rsid w:val="00E8392D"/>
    <w:rsid w:val="00E83C70"/>
    <w:rsid w:val="00E84169"/>
    <w:rsid w:val="00E841AF"/>
    <w:rsid w:val="00E841E5"/>
    <w:rsid w:val="00E844D7"/>
    <w:rsid w:val="00E84712"/>
    <w:rsid w:val="00E84752"/>
    <w:rsid w:val="00E84D3D"/>
    <w:rsid w:val="00E851A0"/>
    <w:rsid w:val="00E852EA"/>
    <w:rsid w:val="00E85911"/>
    <w:rsid w:val="00E85B1C"/>
    <w:rsid w:val="00E85D91"/>
    <w:rsid w:val="00E85F10"/>
    <w:rsid w:val="00E85FC0"/>
    <w:rsid w:val="00E860FA"/>
    <w:rsid w:val="00E866A3"/>
    <w:rsid w:val="00E86853"/>
    <w:rsid w:val="00E86C25"/>
    <w:rsid w:val="00E86DAC"/>
    <w:rsid w:val="00E871CA"/>
    <w:rsid w:val="00E87229"/>
    <w:rsid w:val="00E87248"/>
    <w:rsid w:val="00E87518"/>
    <w:rsid w:val="00E87999"/>
    <w:rsid w:val="00E87CF3"/>
    <w:rsid w:val="00E87EFC"/>
    <w:rsid w:val="00E87F97"/>
    <w:rsid w:val="00E90150"/>
    <w:rsid w:val="00E90299"/>
    <w:rsid w:val="00E90424"/>
    <w:rsid w:val="00E90810"/>
    <w:rsid w:val="00E90DF3"/>
    <w:rsid w:val="00E911BB"/>
    <w:rsid w:val="00E9172D"/>
    <w:rsid w:val="00E9190A"/>
    <w:rsid w:val="00E91C66"/>
    <w:rsid w:val="00E922DC"/>
    <w:rsid w:val="00E9278F"/>
    <w:rsid w:val="00E92A20"/>
    <w:rsid w:val="00E93125"/>
    <w:rsid w:val="00E937E0"/>
    <w:rsid w:val="00E93C14"/>
    <w:rsid w:val="00E93CAB"/>
    <w:rsid w:val="00E93D97"/>
    <w:rsid w:val="00E9405C"/>
    <w:rsid w:val="00E942C0"/>
    <w:rsid w:val="00E94F97"/>
    <w:rsid w:val="00E95A33"/>
    <w:rsid w:val="00E96451"/>
    <w:rsid w:val="00E96873"/>
    <w:rsid w:val="00E96963"/>
    <w:rsid w:val="00E96A73"/>
    <w:rsid w:val="00E96CAB"/>
    <w:rsid w:val="00E9744C"/>
    <w:rsid w:val="00E97E4D"/>
    <w:rsid w:val="00EA024C"/>
    <w:rsid w:val="00EA0427"/>
    <w:rsid w:val="00EA070E"/>
    <w:rsid w:val="00EA09A4"/>
    <w:rsid w:val="00EA1136"/>
    <w:rsid w:val="00EA177B"/>
    <w:rsid w:val="00EA1977"/>
    <w:rsid w:val="00EA1A2C"/>
    <w:rsid w:val="00EA1B88"/>
    <w:rsid w:val="00EA1C8C"/>
    <w:rsid w:val="00EA1F2B"/>
    <w:rsid w:val="00EA20B1"/>
    <w:rsid w:val="00EA2A59"/>
    <w:rsid w:val="00EA2D44"/>
    <w:rsid w:val="00EA2E14"/>
    <w:rsid w:val="00EA2EA1"/>
    <w:rsid w:val="00EA3689"/>
    <w:rsid w:val="00EA384A"/>
    <w:rsid w:val="00EA3A28"/>
    <w:rsid w:val="00EA3B25"/>
    <w:rsid w:val="00EA3C75"/>
    <w:rsid w:val="00EA404C"/>
    <w:rsid w:val="00EA46CD"/>
    <w:rsid w:val="00EA4C9A"/>
    <w:rsid w:val="00EA5184"/>
    <w:rsid w:val="00EA5DEB"/>
    <w:rsid w:val="00EA612E"/>
    <w:rsid w:val="00EA61B6"/>
    <w:rsid w:val="00EA63C4"/>
    <w:rsid w:val="00EA7398"/>
    <w:rsid w:val="00EA7410"/>
    <w:rsid w:val="00EA7731"/>
    <w:rsid w:val="00EA7BE0"/>
    <w:rsid w:val="00EB07D3"/>
    <w:rsid w:val="00EB0E18"/>
    <w:rsid w:val="00EB0E37"/>
    <w:rsid w:val="00EB0E90"/>
    <w:rsid w:val="00EB1410"/>
    <w:rsid w:val="00EB1748"/>
    <w:rsid w:val="00EB1C95"/>
    <w:rsid w:val="00EB1D40"/>
    <w:rsid w:val="00EB1E7C"/>
    <w:rsid w:val="00EB21AB"/>
    <w:rsid w:val="00EB2244"/>
    <w:rsid w:val="00EB2821"/>
    <w:rsid w:val="00EB2B19"/>
    <w:rsid w:val="00EB2C9D"/>
    <w:rsid w:val="00EB2E53"/>
    <w:rsid w:val="00EB33BE"/>
    <w:rsid w:val="00EB374F"/>
    <w:rsid w:val="00EB3D93"/>
    <w:rsid w:val="00EB4D95"/>
    <w:rsid w:val="00EB5739"/>
    <w:rsid w:val="00EB6413"/>
    <w:rsid w:val="00EB6530"/>
    <w:rsid w:val="00EB6626"/>
    <w:rsid w:val="00EB6694"/>
    <w:rsid w:val="00EB6A2B"/>
    <w:rsid w:val="00EB6ADA"/>
    <w:rsid w:val="00EB6D66"/>
    <w:rsid w:val="00EB7142"/>
    <w:rsid w:val="00EB7591"/>
    <w:rsid w:val="00EB7785"/>
    <w:rsid w:val="00EB77DF"/>
    <w:rsid w:val="00EB78DF"/>
    <w:rsid w:val="00EB7A13"/>
    <w:rsid w:val="00EB7A98"/>
    <w:rsid w:val="00EC00B3"/>
    <w:rsid w:val="00EC0509"/>
    <w:rsid w:val="00EC0625"/>
    <w:rsid w:val="00EC0895"/>
    <w:rsid w:val="00EC11DC"/>
    <w:rsid w:val="00EC1293"/>
    <w:rsid w:val="00EC12C9"/>
    <w:rsid w:val="00EC152B"/>
    <w:rsid w:val="00EC1F1E"/>
    <w:rsid w:val="00EC2250"/>
    <w:rsid w:val="00EC259B"/>
    <w:rsid w:val="00EC26DF"/>
    <w:rsid w:val="00EC26E0"/>
    <w:rsid w:val="00EC29C0"/>
    <w:rsid w:val="00EC2B5D"/>
    <w:rsid w:val="00EC2D27"/>
    <w:rsid w:val="00EC30F2"/>
    <w:rsid w:val="00EC3231"/>
    <w:rsid w:val="00EC33F8"/>
    <w:rsid w:val="00EC36D7"/>
    <w:rsid w:val="00EC42E3"/>
    <w:rsid w:val="00EC4507"/>
    <w:rsid w:val="00EC486A"/>
    <w:rsid w:val="00EC4A87"/>
    <w:rsid w:val="00EC522C"/>
    <w:rsid w:val="00EC5E3F"/>
    <w:rsid w:val="00EC6B2C"/>
    <w:rsid w:val="00EC6C4A"/>
    <w:rsid w:val="00EC74BB"/>
    <w:rsid w:val="00EC74D2"/>
    <w:rsid w:val="00EC780A"/>
    <w:rsid w:val="00EC78A3"/>
    <w:rsid w:val="00EC7BA4"/>
    <w:rsid w:val="00EC7BD5"/>
    <w:rsid w:val="00ED008B"/>
    <w:rsid w:val="00ED05AE"/>
    <w:rsid w:val="00ED0D56"/>
    <w:rsid w:val="00ED0E1F"/>
    <w:rsid w:val="00ED0EC3"/>
    <w:rsid w:val="00ED1AD6"/>
    <w:rsid w:val="00ED1CD7"/>
    <w:rsid w:val="00ED1CF6"/>
    <w:rsid w:val="00ED1E4C"/>
    <w:rsid w:val="00ED2024"/>
    <w:rsid w:val="00ED2890"/>
    <w:rsid w:val="00ED3124"/>
    <w:rsid w:val="00ED3DB4"/>
    <w:rsid w:val="00ED3E2B"/>
    <w:rsid w:val="00ED49FE"/>
    <w:rsid w:val="00ED4C3A"/>
    <w:rsid w:val="00ED4CC5"/>
    <w:rsid w:val="00ED4D28"/>
    <w:rsid w:val="00ED4E89"/>
    <w:rsid w:val="00ED529E"/>
    <w:rsid w:val="00ED5672"/>
    <w:rsid w:val="00ED56CB"/>
    <w:rsid w:val="00ED5A67"/>
    <w:rsid w:val="00ED68F9"/>
    <w:rsid w:val="00ED6E29"/>
    <w:rsid w:val="00ED776B"/>
    <w:rsid w:val="00ED7CB5"/>
    <w:rsid w:val="00ED7E4F"/>
    <w:rsid w:val="00ED7E90"/>
    <w:rsid w:val="00EE028A"/>
    <w:rsid w:val="00EE054B"/>
    <w:rsid w:val="00EE06D7"/>
    <w:rsid w:val="00EE0A2F"/>
    <w:rsid w:val="00EE0CF7"/>
    <w:rsid w:val="00EE0E9A"/>
    <w:rsid w:val="00EE105C"/>
    <w:rsid w:val="00EE123C"/>
    <w:rsid w:val="00EE13D1"/>
    <w:rsid w:val="00EE181B"/>
    <w:rsid w:val="00EE2287"/>
    <w:rsid w:val="00EE230E"/>
    <w:rsid w:val="00EE25D4"/>
    <w:rsid w:val="00EE2680"/>
    <w:rsid w:val="00EE26D7"/>
    <w:rsid w:val="00EE3070"/>
    <w:rsid w:val="00EE3336"/>
    <w:rsid w:val="00EE35D8"/>
    <w:rsid w:val="00EE35F0"/>
    <w:rsid w:val="00EE360A"/>
    <w:rsid w:val="00EE364A"/>
    <w:rsid w:val="00EE3781"/>
    <w:rsid w:val="00EE39BE"/>
    <w:rsid w:val="00EE3ED0"/>
    <w:rsid w:val="00EE3FD3"/>
    <w:rsid w:val="00EE4132"/>
    <w:rsid w:val="00EE448E"/>
    <w:rsid w:val="00EE481B"/>
    <w:rsid w:val="00EE4B4F"/>
    <w:rsid w:val="00EE576A"/>
    <w:rsid w:val="00EE5853"/>
    <w:rsid w:val="00EE5974"/>
    <w:rsid w:val="00EE5E7D"/>
    <w:rsid w:val="00EE5F69"/>
    <w:rsid w:val="00EE69E1"/>
    <w:rsid w:val="00EE6A26"/>
    <w:rsid w:val="00EE6F4D"/>
    <w:rsid w:val="00EE796F"/>
    <w:rsid w:val="00EE7AB8"/>
    <w:rsid w:val="00EE7B3C"/>
    <w:rsid w:val="00EE7E6B"/>
    <w:rsid w:val="00EF0829"/>
    <w:rsid w:val="00EF1269"/>
    <w:rsid w:val="00EF198B"/>
    <w:rsid w:val="00EF22E8"/>
    <w:rsid w:val="00EF2465"/>
    <w:rsid w:val="00EF2C0D"/>
    <w:rsid w:val="00EF3A4E"/>
    <w:rsid w:val="00EF3C3D"/>
    <w:rsid w:val="00EF4390"/>
    <w:rsid w:val="00EF4CD0"/>
    <w:rsid w:val="00EF51A2"/>
    <w:rsid w:val="00EF5557"/>
    <w:rsid w:val="00EF5645"/>
    <w:rsid w:val="00EF56B6"/>
    <w:rsid w:val="00EF5A90"/>
    <w:rsid w:val="00EF66E0"/>
    <w:rsid w:val="00EF6AAE"/>
    <w:rsid w:val="00EF6FA5"/>
    <w:rsid w:val="00EF7749"/>
    <w:rsid w:val="00EF7760"/>
    <w:rsid w:val="00EF7BB9"/>
    <w:rsid w:val="00EF7F6D"/>
    <w:rsid w:val="00F006E9"/>
    <w:rsid w:val="00F0179C"/>
    <w:rsid w:val="00F0196C"/>
    <w:rsid w:val="00F02005"/>
    <w:rsid w:val="00F02006"/>
    <w:rsid w:val="00F02EB6"/>
    <w:rsid w:val="00F037B6"/>
    <w:rsid w:val="00F039C5"/>
    <w:rsid w:val="00F03B68"/>
    <w:rsid w:val="00F03BCC"/>
    <w:rsid w:val="00F03D6B"/>
    <w:rsid w:val="00F0464E"/>
    <w:rsid w:val="00F048A5"/>
    <w:rsid w:val="00F04E0D"/>
    <w:rsid w:val="00F04FB8"/>
    <w:rsid w:val="00F052CE"/>
    <w:rsid w:val="00F0568D"/>
    <w:rsid w:val="00F057C7"/>
    <w:rsid w:val="00F0584C"/>
    <w:rsid w:val="00F06158"/>
    <w:rsid w:val="00F061DA"/>
    <w:rsid w:val="00F062BF"/>
    <w:rsid w:val="00F066F3"/>
    <w:rsid w:val="00F067F9"/>
    <w:rsid w:val="00F06BA4"/>
    <w:rsid w:val="00F06C03"/>
    <w:rsid w:val="00F079B9"/>
    <w:rsid w:val="00F07C00"/>
    <w:rsid w:val="00F07ED7"/>
    <w:rsid w:val="00F10420"/>
    <w:rsid w:val="00F10511"/>
    <w:rsid w:val="00F10E0D"/>
    <w:rsid w:val="00F10F7D"/>
    <w:rsid w:val="00F111A9"/>
    <w:rsid w:val="00F114C3"/>
    <w:rsid w:val="00F116EF"/>
    <w:rsid w:val="00F122D1"/>
    <w:rsid w:val="00F12692"/>
    <w:rsid w:val="00F12CF3"/>
    <w:rsid w:val="00F13115"/>
    <w:rsid w:val="00F1365C"/>
    <w:rsid w:val="00F1366C"/>
    <w:rsid w:val="00F13796"/>
    <w:rsid w:val="00F13A18"/>
    <w:rsid w:val="00F1426F"/>
    <w:rsid w:val="00F1480A"/>
    <w:rsid w:val="00F14F5A"/>
    <w:rsid w:val="00F15181"/>
    <w:rsid w:val="00F15351"/>
    <w:rsid w:val="00F153AB"/>
    <w:rsid w:val="00F15445"/>
    <w:rsid w:val="00F1578D"/>
    <w:rsid w:val="00F15A7E"/>
    <w:rsid w:val="00F15CE4"/>
    <w:rsid w:val="00F15DB9"/>
    <w:rsid w:val="00F15DE5"/>
    <w:rsid w:val="00F15F11"/>
    <w:rsid w:val="00F16526"/>
    <w:rsid w:val="00F165B7"/>
    <w:rsid w:val="00F16A0B"/>
    <w:rsid w:val="00F1704C"/>
    <w:rsid w:val="00F17081"/>
    <w:rsid w:val="00F17F84"/>
    <w:rsid w:val="00F202E8"/>
    <w:rsid w:val="00F204AB"/>
    <w:rsid w:val="00F20EE4"/>
    <w:rsid w:val="00F222D4"/>
    <w:rsid w:val="00F22388"/>
    <w:rsid w:val="00F22779"/>
    <w:rsid w:val="00F22A24"/>
    <w:rsid w:val="00F22C7C"/>
    <w:rsid w:val="00F234FB"/>
    <w:rsid w:val="00F23810"/>
    <w:rsid w:val="00F23EDC"/>
    <w:rsid w:val="00F23FF6"/>
    <w:rsid w:val="00F24D74"/>
    <w:rsid w:val="00F25652"/>
    <w:rsid w:val="00F2565C"/>
    <w:rsid w:val="00F25C16"/>
    <w:rsid w:val="00F26540"/>
    <w:rsid w:val="00F26D35"/>
    <w:rsid w:val="00F271A6"/>
    <w:rsid w:val="00F27469"/>
    <w:rsid w:val="00F27660"/>
    <w:rsid w:val="00F276FE"/>
    <w:rsid w:val="00F278F2"/>
    <w:rsid w:val="00F3039B"/>
    <w:rsid w:val="00F3068E"/>
    <w:rsid w:val="00F30966"/>
    <w:rsid w:val="00F30985"/>
    <w:rsid w:val="00F30A75"/>
    <w:rsid w:val="00F30F7C"/>
    <w:rsid w:val="00F315FA"/>
    <w:rsid w:val="00F31830"/>
    <w:rsid w:val="00F319E9"/>
    <w:rsid w:val="00F322DF"/>
    <w:rsid w:val="00F323F4"/>
    <w:rsid w:val="00F32F55"/>
    <w:rsid w:val="00F3325C"/>
    <w:rsid w:val="00F338A1"/>
    <w:rsid w:val="00F33A61"/>
    <w:rsid w:val="00F33A65"/>
    <w:rsid w:val="00F33D65"/>
    <w:rsid w:val="00F33FD8"/>
    <w:rsid w:val="00F34D22"/>
    <w:rsid w:val="00F34DEF"/>
    <w:rsid w:val="00F35084"/>
    <w:rsid w:val="00F351CC"/>
    <w:rsid w:val="00F3538C"/>
    <w:rsid w:val="00F3584D"/>
    <w:rsid w:val="00F35B80"/>
    <w:rsid w:val="00F35B82"/>
    <w:rsid w:val="00F35DCE"/>
    <w:rsid w:val="00F35FF4"/>
    <w:rsid w:val="00F360DB"/>
    <w:rsid w:val="00F360DF"/>
    <w:rsid w:val="00F365BE"/>
    <w:rsid w:val="00F3676D"/>
    <w:rsid w:val="00F37A14"/>
    <w:rsid w:val="00F37B61"/>
    <w:rsid w:val="00F37C37"/>
    <w:rsid w:val="00F37DFA"/>
    <w:rsid w:val="00F37E5C"/>
    <w:rsid w:val="00F37F2D"/>
    <w:rsid w:val="00F4050A"/>
    <w:rsid w:val="00F40F0E"/>
    <w:rsid w:val="00F4147A"/>
    <w:rsid w:val="00F41B5E"/>
    <w:rsid w:val="00F42098"/>
    <w:rsid w:val="00F423AD"/>
    <w:rsid w:val="00F42798"/>
    <w:rsid w:val="00F42A01"/>
    <w:rsid w:val="00F42B34"/>
    <w:rsid w:val="00F43094"/>
    <w:rsid w:val="00F4342E"/>
    <w:rsid w:val="00F4382B"/>
    <w:rsid w:val="00F438E9"/>
    <w:rsid w:val="00F43BAE"/>
    <w:rsid w:val="00F4413A"/>
    <w:rsid w:val="00F447D0"/>
    <w:rsid w:val="00F44F50"/>
    <w:rsid w:val="00F454B9"/>
    <w:rsid w:val="00F4592B"/>
    <w:rsid w:val="00F45A89"/>
    <w:rsid w:val="00F45EDA"/>
    <w:rsid w:val="00F46147"/>
    <w:rsid w:val="00F46768"/>
    <w:rsid w:val="00F46890"/>
    <w:rsid w:val="00F46CDC"/>
    <w:rsid w:val="00F46EA6"/>
    <w:rsid w:val="00F47244"/>
    <w:rsid w:val="00F47438"/>
    <w:rsid w:val="00F47721"/>
    <w:rsid w:val="00F47BD9"/>
    <w:rsid w:val="00F47BDB"/>
    <w:rsid w:val="00F47CFA"/>
    <w:rsid w:val="00F5021A"/>
    <w:rsid w:val="00F5046C"/>
    <w:rsid w:val="00F5067F"/>
    <w:rsid w:val="00F507E2"/>
    <w:rsid w:val="00F50974"/>
    <w:rsid w:val="00F51303"/>
    <w:rsid w:val="00F5166A"/>
    <w:rsid w:val="00F51AFC"/>
    <w:rsid w:val="00F52003"/>
    <w:rsid w:val="00F5246F"/>
    <w:rsid w:val="00F52D22"/>
    <w:rsid w:val="00F530F5"/>
    <w:rsid w:val="00F532D5"/>
    <w:rsid w:val="00F53A0E"/>
    <w:rsid w:val="00F53A5D"/>
    <w:rsid w:val="00F54016"/>
    <w:rsid w:val="00F54237"/>
    <w:rsid w:val="00F54399"/>
    <w:rsid w:val="00F54B75"/>
    <w:rsid w:val="00F5517D"/>
    <w:rsid w:val="00F555A6"/>
    <w:rsid w:val="00F55823"/>
    <w:rsid w:val="00F558A4"/>
    <w:rsid w:val="00F55BEF"/>
    <w:rsid w:val="00F55DE9"/>
    <w:rsid w:val="00F55ED8"/>
    <w:rsid w:val="00F564E0"/>
    <w:rsid w:val="00F564F0"/>
    <w:rsid w:val="00F5699F"/>
    <w:rsid w:val="00F56AD2"/>
    <w:rsid w:val="00F56BF6"/>
    <w:rsid w:val="00F56CBB"/>
    <w:rsid w:val="00F56CE1"/>
    <w:rsid w:val="00F56E4D"/>
    <w:rsid w:val="00F56FC2"/>
    <w:rsid w:val="00F576AF"/>
    <w:rsid w:val="00F57950"/>
    <w:rsid w:val="00F57C4A"/>
    <w:rsid w:val="00F60177"/>
    <w:rsid w:val="00F604CA"/>
    <w:rsid w:val="00F604D2"/>
    <w:rsid w:val="00F605F4"/>
    <w:rsid w:val="00F607C5"/>
    <w:rsid w:val="00F60AAD"/>
    <w:rsid w:val="00F60D7F"/>
    <w:rsid w:val="00F60FDC"/>
    <w:rsid w:val="00F61091"/>
    <w:rsid w:val="00F61509"/>
    <w:rsid w:val="00F61ED8"/>
    <w:rsid w:val="00F627AE"/>
    <w:rsid w:val="00F62F74"/>
    <w:rsid w:val="00F6313C"/>
    <w:rsid w:val="00F639D3"/>
    <w:rsid w:val="00F63E8B"/>
    <w:rsid w:val="00F64015"/>
    <w:rsid w:val="00F64053"/>
    <w:rsid w:val="00F643D3"/>
    <w:rsid w:val="00F644F3"/>
    <w:rsid w:val="00F647C9"/>
    <w:rsid w:val="00F64D8E"/>
    <w:rsid w:val="00F64D9C"/>
    <w:rsid w:val="00F64ED4"/>
    <w:rsid w:val="00F651B9"/>
    <w:rsid w:val="00F6533A"/>
    <w:rsid w:val="00F65351"/>
    <w:rsid w:val="00F65891"/>
    <w:rsid w:val="00F658F1"/>
    <w:rsid w:val="00F66889"/>
    <w:rsid w:val="00F67164"/>
    <w:rsid w:val="00F67670"/>
    <w:rsid w:val="00F678B1"/>
    <w:rsid w:val="00F67BFF"/>
    <w:rsid w:val="00F70028"/>
    <w:rsid w:val="00F7032D"/>
    <w:rsid w:val="00F70362"/>
    <w:rsid w:val="00F70370"/>
    <w:rsid w:val="00F714E0"/>
    <w:rsid w:val="00F71770"/>
    <w:rsid w:val="00F71A1E"/>
    <w:rsid w:val="00F722DD"/>
    <w:rsid w:val="00F72446"/>
    <w:rsid w:val="00F725A1"/>
    <w:rsid w:val="00F726D6"/>
    <w:rsid w:val="00F72951"/>
    <w:rsid w:val="00F72A20"/>
    <w:rsid w:val="00F72FDC"/>
    <w:rsid w:val="00F7317B"/>
    <w:rsid w:val="00F73542"/>
    <w:rsid w:val="00F73E43"/>
    <w:rsid w:val="00F74098"/>
    <w:rsid w:val="00F74A3D"/>
    <w:rsid w:val="00F74C24"/>
    <w:rsid w:val="00F7500D"/>
    <w:rsid w:val="00F75367"/>
    <w:rsid w:val="00F75504"/>
    <w:rsid w:val="00F75569"/>
    <w:rsid w:val="00F75674"/>
    <w:rsid w:val="00F75884"/>
    <w:rsid w:val="00F75983"/>
    <w:rsid w:val="00F759C1"/>
    <w:rsid w:val="00F75B1A"/>
    <w:rsid w:val="00F75C50"/>
    <w:rsid w:val="00F763AB"/>
    <w:rsid w:val="00F7642F"/>
    <w:rsid w:val="00F7679B"/>
    <w:rsid w:val="00F767E9"/>
    <w:rsid w:val="00F76ADC"/>
    <w:rsid w:val="00F770D6"/>
    <w:rsid w:val="00F77151"/>
    <w:rsid w:val="00F771F1"/>
    <w:rsid w:val="00F77A17"/>
    <w:rsid w:val="00F77BD4"/>
    <w:rsid w:val="00F77BEF"/>
    <w:rsid w:val="00F77F5B"/>
    <w:rsid w:val="00F800D4"/>
    <w:rsid w:val="00F800DB"/>
    <w:rsid w:val="00F8015B"/>
    <w:rsid w:val="00F804EF"/>
    <w:rsid w:val="00F80A52"/>
    <w:rsid w:val="00F80CA1"/>
    <w:rsid w:val="00F813D4"/>
    <w:rsid w:val="00F8218D"/>
    <w:rsid w:val="00F823A5"/>
    <w:rsid w:val="00F824DD"/>
    <w:rsid w:val="00F82836"/>
    <w:rsid w:val="00F82B5F"/>
    <w:rsid w:val="00F82F62"/>
    <w:rsid w:val="00F83012"/>
    <w:rsid w:val="00F8313D"/>
    <w:rsid w:val="00F83331"/>
    <w:rsid w:val="00F83477"/>
    <w:rsid w:val="00F83521"/>
    <w:rsid w:val="00F839E0"/>
    <w:rsid w:val="00F84477"/>
    <w:rsid w:val="00F8491C"/>
    <w:rsid w:val="00F84A59"/>
    <w:rsid w:val="00F84E2F"/>
    <w:rsid w:val="00F84F1E"/>
    <w:rsid w:val="00F84FF3"/>
    <w:rsid w:val="00F8518B"/>
    <w:rsid w:val="00F852B2"/>
    <w:rsid w:val="00F8537F"/>
    <w:rsid w:val="00F85CBD"/>
    <w:rsid w:val="00F85F48"/>
    <w:rsid w:val="00F861A6"/>
    <w:rsid w:val="00F86923"/>
    <w:rsid w:val="00F87074"/>
    <w:rsid w:val="00F871DE"/>
    <w:rsid w:val="00F87DB9"/>
    <w:rsid w:val="00F905D6"/>
    <w:rsid w:val="00F906A2"/>
    <w:rsid w:val="00F90DCC"/>
    <w:rsid w:val="00F916A6"/>
    <w:rsid w:val="00F91C81"/>
    <w:rsid w:val="00F91F3E"/>
    <w:rsid w:val="00F92B11"/>
    <w:rsid w:val="00F9384D"/>
    <w:rsid w:val="00F93C6A"/>
    <w:rsid w:val="00F9447C"/>
    <w:rsid w:val="00F945BE"/>
    <w:rsid w:val="00F9591C"/>
    <w:rsid w:val="00F95BA2"/>
    <w:rsid w:val="00F95D8B"/>
    <w:rsid w:val="00F95EBB"/>
    <w:rsid w:val="00F96173"/>
    <w:rsid w:val="00F961CC"/>
    <w:rsid w:val="00F96259"/>
    <w:rsid w:val="00F9655A"/>
    <w:rsid w:val="00F96801"/>
    <w:rsid w:val="00F96BDD"/>
    <w:rsid w:val="00F974AD"/>
    <w:rsid w:val="00F97952"/>
    <w:rsid w:val="00F97AF4"/>
    <w:rsid w:val="00F97B27"/>
    <w:rsid w:val="00FA0038"/>
    <w:rsid w:val="00FA008B"/>
    <w:rsid w:val="00FA015A"/>
    <w:rsid w:val="00FA03CE"/>
    <w:rsid w:val="00FA05FF"/>
    <w:rsid w:val="00FA0913"/>
    <w:rsid w:val="00FA0BEF"/>
    <w:rsid w:val="00FA1224"/>
    <w:rsid w:val="00FA19A2"/>
    <w:rsid w:val="00FA1AF2"/>
    <w:rsid w:val="00FA2AD5"/>
    <w:rsid w:val="00FA2C80"/>
    <w:rsid w:val="00FA31F5"/>
    <w:rsid w:val="00FA3CA8"/>
    <w:rsid w:val="00FA3E25"/>
    <w:rsid w:val="00FA3EC8"/>
    <w:rsid w:val="00FA42AB"/>
    <w:rsid w:val="00FA4E5D"/>
    <w:rsid w:val="00FA541A"/>
    <w:rsid w:val="00FA66C7"/>
    <w:rsid w:val="00FA6D68"/>
    <w:rsid w:val="00FA7000"/>
    <w:rsid w:val="00FA77D0"/>
    <w:rsid w:val="00FA7BA2"/>
    <w:rsid w:val="00FA7CB7"/>
    <w:rsid w:val="00FB03BA"/>
    <w:rsid w:val="00FB0750"/>
    <w:rsid w:val="00FB1AEF"/>
    <w:rsid w:val="00FB1BD5"/>
    <w:rsid w:val="00FB20E3"/>
    <w:rsid w:val="00FB2CB6"/>
    <w:rsid w:val="00FB35F2"/>
    <w:rsid w:val="00FB368F"/>
    <w:rsid w:val="00FB3F91"/>
    <w:rsid w:val="00FB3FDB"/>
    <w:rsid w:val="00FB4406"/>
    <w:rsid w:val="00FB4631"/>
    <w:rsid w:val="00FB463E"/>
    <w:rsid w:val="00FB499B"/>
    <w:rsid w:val="00FB4F55"/>
    <w:rsid w:val="00FB54E8"/>
    <w:rsid w:val="00FB561B"/>
    <w:rsid w:val="00FB5725"/>
    <w:rsid w:val="00FB5996"/>
    <w:rsid w:val="00FB5C35"/>
    <w:rsid w:val="00FB66EF"/>
    <w:rsid w:val="00FB691E"/>
    <w:rsid w:val="00FB6B2A"/>
    <w:rsid w:val="00FB6D0B"/>
    <w:rsid w:val="00FB724B"/>
    <w:rsid w:val="00FB7534"/>
    <w:rsid w:val="00FB7688"/>
    <w:rsid w:val="00FB7C7D"/>
    <w:rsid w:val="00FB7CC9"/>
    <w:rsid w:val="00FC0188"/>
    <w:rsid w:val="00FC018E"/>
    <w:rsid w:val="00FC046A"/>
    <w:rsid w:val="00FC12CB"/>
    <w:rsid w:val="00FC1414"/>
    <w:rsid w:val="00FC1A38"/>
    <w:rsid w:val="00FC21B0"/>
    <w:rsid w:val="00FC2596"/>
    <w:rsid w:val="00FC25C5"/>
    <w:rsid w:val="00FC2830"/>
    <w:rsid w:val="00FC29CC"/>
    <w:rsid w:val="00FC347A"/>
    <w:rsid w:val="00FC34DE"/>
    <w:rsid w:val="00FC385C"/>
    <w:rsid w:val="00FC3977"/>
    <w:rsid w:val="00FC3AF7"/>
    <w:rsid w:val="00FC3EA5"/>
    <w:rsid w:val="00FC3F19"/>
    <w:rsid w:val="00FC47D8"/>
    <w:rsid w:val="00FC4957"/>
    <w:rsid w:val="00FC497B"/>
    <w:rsid w:val="00FC5055"/>
    <w:rsid w:val="00FC54C6"/>
    <w:rsid w:val="00FC56A0"/>
    <w:rsid w:val="00FC5940"/>
    <w:rsid w:val="00FC5ACF"/>
    <w:rsid w:val="00FC5E56"/>
    <w:rsid w:val="00FC5FAE"/>
    <w:rsid w:val="00FC6073"/>
    <w:rsid w:val="00FC6CFE"/>
    <w:rsid w:val="00FC6D3A"/>
    <w:rsid w:val="00FC6FF5"/>
    <w:rsid w:val="00FC70AF"/>
    <w:rsid w:val="00FC731E"/>
    <w:rsid w:val="00FC7CFE"/>
    <w:rsid w:val="00FD037A"/>
    <w:rsid w:val="00FD0426"/>
    <w:rsid w:val="00FD0994"/>
    <w:rsid w:val="00FD0E0F"/>
    <w:rsid w:val="00FD0E80"/>
    <w:rsid w:val="00FD1105"/>
    <w:rsid w:val="00FD22FC"/>
    <w:rsid w:val="00FD2A2E"/>
    <w:rsid w:val="00FD2C93"/>
    <w:rsid w:val="00FD2CD4"/>
    <w:rsid w:val="00FD30DA"/>
    <w:rsid w:val="00FD32DD"/>
    <w:rsid w:val="00FD32E2"/>
    <w:rsid w:val="00FD337E"/>
    <w:rsid w:val="00FD3455"/>
    <w:rsid w:val="00FD37C9"/>
    <w:rsid w:val="00FD3BF7"/>
    <w:rsid w:val="00FD3DD7"/>
    <w:rsid w:val="00FD40BC"/>
    <w:rsid w:val="00FD40C1"/>
    <w:rsid w:val="00FD4439"/>
    <w:rsid w:val="00FD46A5"/>
    <w:rsid w:val="00FD4AA6"/>
    <w:rsid w:val="00FD4D90"/>
    <w:rsid w:val="00FD4FD0"/>
    <w:rsid w:val="00FD5025"/>
    <w:rsid w:val="00FD5229"/>
    <w:rsid w:val="00FD55EB"/>
    <w:rsid w:val="00FD566E"/>
    <w:rsid w:val="00FD6297"/>
    <w:rsid w:val="00FD6BDD"/>
    <w:rsid w:val="00FD7174"/>
    <w:rsid w:val="00FD7326"/>
    <w:rsid w:val="00FD73C9"/>
    <w:rsid w:val="00FD7834"/>
    <w:rsid w:val="00FD792C"/>
    <w:rsid w:val="00FD7EC3"/>
    <w:rsid w:val="00FE0171"/>
    <w:rsid w:val="00FE087D"/>
    <w:rsid w:val="00FE0CBD"/>
    <w:rsid w:val="00FE151A"/>
    <w:rsid w:val="00FE1AB8"/>
    <w:rsid w:val="00FE221A"/>
    <w:rsid w:val="00FE2321"/>
    <w:rsid w:val="00FE2D30"/>
    <w:rsid w:val="00FE2F62"/>
    <w:rsid w:val="00FE33A3"/>
    <w:rsid w:val="00FE33D9"/>
    <w:rsid w:val="00FE436F"/>
    <w:rsid w:val="00FE4D8A"/>
    <w:rsid w:val="00FE5000"/>
    <w:rsid w:val="00FE5489"/>
    <w:rsid w:val="00FE54E4"/>
    <w:rsid w:val="00FE575A"/>
    <w:rsid w:val="00FE5B98"/>
    <w:rsid w:val="00FE5E23"/>
    <w:rsid w:val="00FE60A9"/>
    <w:rsid w:val="00FE639B"/>
    <w:rsid w:val="00FE63B3"/>
    <w:rsid w:val="00FE6638"/>
    <w:rsid w:val="00FE693E"/>
    <w:rsid w:val="00FE6E4B"/>
    <w:rsid w:val="00FE6FD6"/>
    <w:rsid w:val="00FE7388"/>
    <w:rsid w:val="00FE7592"/>
    <w:rsid w:val="00FE7917"/>
    <w:rsid w:val="00FF083B"/>
    <w:rsid w:val="00FF0C1C"/>
    <w:rsid w:val="00FF1387"/>
    <w:rsid w:val="00FF16E3"/>
    <w:rsid w:val="00FF1941"/>
    <w:rsid w:val="00FF2196"/>
    <w:rsid w:val="00FF2403"/>
    <w:rsid w:val="00FF28FC"/>
    <w:rsid w:val="00FF2A2A"/>
    <w:rsid w:val="00FF2F55"/>
    <w:rsid w:val="00FF308F"/>
    <w:rsid w:val="00FF3100"/>
    <w:rsid w:val="00FF31D2"/>
    <w:rsid w:val="00FF326A"/>
    <w:rsid w:val="00FF3533"/>
    <w:rsid w:val="00FF3FA7"/>
    <w:rsid w:val="00FF41FB"/>
    <w:rsid w:val="00FF43CF"/>
    <w:rsid w:val="00FF45AE"/>
    <w:rsid w:val="00FF4741"/>
    <w:rsid w:val="00FF4746"/>
    <w:rsid w:val="00FF4E14"/>
    <w:rsid w:val="00FF4FE7"/>
    <w:rsid w:val="00FF5574"/>
    <w:rsid w:val="00FF55CA"/>
    <w:rsid w:val="00FF5AC6"/>
    <w:rsid w:val="00FF6B63"/>
    <w:rsid w:val="00FF6BED"/>
    <w:rsid w:val="00FF7814"/>
    <w:rsid w:val="00FF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2ED00F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6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2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477C"/>
    <w:pPr>
      <w:ind w:left="720"/>
      <w:contextualSpacing/>
    </w:pPr>
  </w:style>
  <w:style w:type="character" w:styleId="Emphasis">
    <w:name w:val="Emphasis"/>
    <w:basedOn w:val="DefaultParagraphFont"/>
    <w:uiPriority w:val="20"/>
    <w:qFormat/>
    <w:rsid w:val="00F079B9"/>
    <w:rPr>
      <w:i/>
      <w:iCs/>
    </w:rPr>
  </w:style>
  <w:style w:type="character" w:styleId="Hyperlink">
    <w:name w:val="Hyperlink"/>
    <w:basedOn w:val="DefaultParagraphFont"/>
    <w:uiPriority w:val="99"/>
    <w:unhideWhenUsed/>
    <w:rsid w:val="00364083"/>
    <w:rPr>
      <w:color w:val="0563C1" w:themeColor="hyperlink"/>
      <w:u w:val="single"/>
    </w:rPr>
  </w:style>
  <w:style w:type="paragraph" w:styleId="CommentText">
    <w:name w:val="annotation text"/>
    <w:basedOn w:val="Normal"/>
    <w:link w:val="CommentTextChar"/>
    <w:uiPriority w:val="99"/>
    <w:semiHidden/>
    <w:unhideWhenUsed/>
    <w:rsid w:val="00364083"/>
    <w:pPr>
      <w:spacing w:line="240" w:lineRule="auto"/>
    </w:pPr>
    <w:rPr>
      <w:sz w:val="20"/>
      <w:szCs w:val="20"/>
    </w:rPr>
  </w:style>
  <w:style w:type="character" w:customStyle="1" w:styleId="CommentTextChar">
    <w:name w:val="Comment Text Char"/>
    <w:basedOn w:val="DefaultParagraphFont"/>
    <w:link w:val="CommentText"/>
    <w:uiPriority w:val="99"/>
    <w:semiHidden/>
    <w:rsid w:val="00364083"/>
    <w:rPr>
      <w:sz w:val="20"/>
      <w:szCs w:val="20"/>
    </w:rPr>
  </w:style>
  <w:style w:type="paragraph" w:styleId="EndnoteText">
    <w:name w:val="endnote text"/>
    <w:basedOn w:val="Normal"/>
    <w:link w:val="EndnoteTextChar"/>
    <w:uiPriority w:val="99"/>
    <w:semiHidden/>
    <w:unhideWhenUsed/>
    <w:rsid w:val="003640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4083"/>
    <w:rPr>
      <w:sz w:val="20"/>
      <w:szCs w:val="20"/>
    </w:rPr>
  </w:style>
  <w:style w:type="character" w:styleId="CommentReference">
    <w:name w:val="annotation reference"/>
    <w:basedOn w:val="DefaultParagraphFont"/>
    <w:uiPriority w:val="99"/>
    <w:semiHidden/>
    <w:unhideWhenUsed/>
    <w:rsid w:val="00364083"/>
    <w:rPr>
      <w:sz w:val="16"/>
      <w:szCs w:val="16"/>
    </w:rPr>
  </w:style>
  <w:style w:type="character" w:styleId="EndnoteReference">
    <w:name w:val="endnote reference"/>
    <w:basedOn w:val="DefaultParagraphFont"/>
    <w:uiPriority w:val="99"/>
    <w:semiHidden/>
    <w:unhideWhenUsed/>
    <w:rsid w:val="00364083"/>
    <w:rPr>
      <w:vertAlign w:val="superscript"/>
    </w:rPr>
  </w:style>
  <w:style w:type="paragraph" w:styleId="BalloonText">
    <w:name w:val="Balloon Text"/>
    <w:basedOn w:val="Normal"/>
    <w:link w:val="BalloonTextChar"/>
    <w:uiPriority w:val="99"/>
    <w:semiHidden/>
    <w:unhideWhenUsed/>
    <w:rsid w:val="003640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083"/>
    <w:rPr>
      <w:rFonts w:ascii="Segoe UI" w:hAnsi="Segoe UI" w:cs="Segoe UI"/>
      <w:sz w:val="18"/>
      <w:szCs w:val="18"/>
    </w:rPr>
  </w:style>
  <w:style w:type="paragraph" w:styleId="FootnoteText">
    <w:name w:val="footnote text"/>
    <w:basedOn w:val="Normal"/>
    <w:link w:val="FootnoteTextChar"/>
    <w:uiPriority w:val="98"/>
    <w:unhideWhenUsed/>
    <w:rsid w:val="004872B4"/>
    <w:pPr>
      <w:spacing w:after="0" w:line="240" w:lineRule="auto"/>
    </w:pPr>
    <w:rPr>
      <w:sz w:val="20"/>
      <w:szCs w:val="20"/>
    </w:rPr>
  </w:style>
  <w:style w:type="character" w:customStyle="1" w:styleId="FootnoteTextChar">
    <w:name w:val="Footnote Text Char"/>
    <w:basedOn w:val="DefaultParagraphFont"/>
    <w:link w:val="FootnoteText"/>
    <w:uiPriority w:val="98"/>
    <w:rsid w:val="004872B4"/>
    <w:rPr>
      <w:sz w:val="20"/>
      <w:szCs w:val="20"/>
    </w:rPr>
  </w:style>
  <w:style w:type="character" w:styleId="FootnoteReference">
    <w:name w:val="footnote reference"/>
    <w:basedOn w:val="DefaultParagraphFont"/>
    <w:uiPriority w:val="99"/>
    <w:semiHidden/>
    <w:unhideWhenUsed/>
    <w:rsid w:val="004872B4"/>
    <w:rPr>
      <w:vertAlign w:val="superscript"/>
    </w:rPr>
  </w:style>
  <w:style w:type="character" w:styleId="UnresolvedMention">
    <w:name w:val="Unresolved Mention"/>
    <w:basedOn w:val="DefaultParagraphFont"/>
    <w:uiPriority w:val="99"/>
    <w:semiHidden/>
    <w:unhideWhenUsed/>
    <w:rsid w:val="00B03088"/>
    <w:rPr>
      <w:color w:val="808080"/>
      <w:shd w:val="clear" w:color="auto" w:fill="E6E6E6"/>
    </w:rPr>
  </w:style>
  <w:style w:type="paragraph" w:styleId="Header">
    <w:name w:val="header"/>
    <w:basedOn w:val="Normal"/>
    <w:link w:val="HeaderChar"/>
    <w:uiPriority w:val="99"/>
    <w:unhideWhenUsed/>
    <w:rsid w:val="00021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BE6"/>
  </w:style>
  <w:style w:type="paragraph" w:styleId="Footer">
    <w:name w:val="footer"/>
    <w:basedOn w:val="Normal"/>
    <w:link w:val="FooterChar"/>
    <w:uiPriority w:val="99"/>
    <w:unhideWhenUsed/>
    <w:rsid w:val="00021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BE6"/>
  </w:style>
  <w:style w:type="character" w:styleId="FollowedHyperlink">
    <w:name w:val="FollowedHyperlink"/>
    <w:basedOn w:val="DefaultParagraphFont"/>
    <w:uiPriority w:val="99"/>
    <w:semiHidden/>
    <w:unhideWhenUsed/>
    <w:rsid w:val="00124300"/>
    <w:rPr>
      <w:color w:val="954F72" w:themeColor="followedHyperlink"/>
      <w:u w:val="single"/>
    </w:rPr>
  </w:style>
  <w:style w:type="paragraph" w:styleId="Revision">
    <w:name w:val="Revision"/>
    <w:hidden/>
    <w:uiPriority w:val="99"/>
    <w:semiHidden/>
    <w:rsid w:val="00C148AB"/>
    <w:pPr>
      <w:spacing w:after="0" w:line="240" w:lineRule="auto"/>
    </w:pPr>
  </w:style>
  <w:style w:type="character" w:styleId="Strong">
    <w:name w:val="Strong"/>
    <w:basedOn w:val="DefaultParagraphFont"/>
    <w:uiPriority w:val="22"/>
    <w:qFormat/>
    <w:rsid w:val="00DA13F4"/>
    <w:rPr>
      <w:b/>
      <w:bCs/>
    </w:rPr>
  </w:style>
  <w:style w:type="character" w:customStyle="1" w:styleId="italic">
    <w:name w:val="italic"/>
    <w:basedOn w:val="DefaultParagraphFont"/>
    <w:rsid w:val="00FB3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18074">
      <w:bodyDiv w:val="1"/>
      <w:marLeft w:val="0"/>
      <w:marRight w:val="0"/>
      <w:marTop w:val="0"/>
      <w:marBottom w:val="0"/>
      <w:divBdr>
        <w:top w:val="none" w:sz="0" w:space="0" w:color="auto"/>
        <w:left w:val="none" w:sz="0" w:space="0" w:color="auto"/>
        <w:bottom w:val="none" w:sz="0" w:space="0" w:color="auto"/>
        <w:right w:val="none" w:sz="0" w:space="0" w:color="auto"/>
      </w:divBdr>
    </w:div>
    <w:div w:id="477386368">
      <w:bodyDiv w:val="1"/>
      <w:marLeft w:val="0"/>
      <w:marRight w:val="0"/>
      <w:marTop w:val="0"/>
      <w:marBottom w:val="0"/>
      <w:divBdr>
        <w:top w:val="none" w:sz="0" w:space="0" w:color="auto"/>
        <w:left w:val="none" w:sz="0" w:space="0" w:color="auto"/>
        <w:bottom w:val="none" w:sz="0" w:space="0" w:color="auto"/>
        <w:right w:val="none" w:sz="0" w:space="0" w:color="auto"/>
      </w:divBdr>
      <w:divsChild>
        <w:div w:id="665859228">
          <w:marLeft w:val="0"/>
          <w:marRight w:val="0"/>
          <w:marTop w:val="0"/>
          <w:marBottom w:val="0"/>
          <w:divBdr>
            <w:top w:val="none" w:sz="0" w:space="0" w:color="auto"/>
            <w:left w:val="none" w:sz="0" w:space="0" w:color="auto"/>
            <w:bottom w:val="none" w:sz="0" w:space="0" w:color="auto"/>
            <w:right w:val="none" w:sz="0" w:space="0" w:color="auto"/>
          </w:divBdr>
          <w:divsChild>
            <w:div w:id="602150425">
              <w:marLeft w:val="100"/>
              <w:marRight w:val="860"/>
              <w:marTop w:val="0"/>
              <w:marBottom w:val="0"/>
              <w:divBdr>
                <w:top w:val="none" w:sz="0" w:space="0" w:color="auto"/>
                <w:left w:val="none" w:sz="0" w:space="0" w:color="auto"/>
                <w:bottom w:val="none" w:sz="0" w:space="0" w:color="auto"/>
                <w:right w:val="none" w:sz="0" w:space="0" w:color="auto"/>
              </w:divBdr>
            </w:div>
            <w:div w:id="830752718">
              <w:marLeft w:val="100"/>
              <w:marRight w:val="0"/>
              <w:marTop w:val="0"/>
              <w:marBottom w:val="0"/>
              <w:divBdr>
                <w:top w:val="none" w:sz="0" w:space="0" w:color="auto"/>
                <w:left w:val="none" w:sz="0" w:space="0" w:color="auto"/>
                <w:bottom w:val="none" w:sz="0" w:space="0" w:color="auto"/>
                <w:right w:val="none" w:sz="0" w:space="0" w:color="auto"/>
              </w:divBdr>
            </w:div>
            <w:div w:id="854228215">
              <w:marLeft w:val="100"/>
              <w:marRight w:val="0"/>
              <w:marTop w:val="0"/>
              <w:marBottom w:val="0"/>
              <w:divBdr>
                <w:top w:val="none" w:sz="0" w:space="0" w:color="auto"/>
                <w:left w:val="none" w:sz="0" w:space="0" w:color="auto"/>
                <w:bottom w:val="none" w:sz="0" w:space="0" w:color="auto"/>
                <w:right w:val="none" w:sz="0" w:space="0" w:color="auto"/>
              </w:divBdr>
            </w:div>
            <w:div w:id="965500784">
              <w:marLeft w:val="0"/>
              <w:marRight w:val="0"/>
              <w:marTop w:val="4"/>
              <w:marBottom w:val="0"/>
              <w:divBdr>
                <w:top w:val="none" w:sz="0" w:space="0" w:color="auto"/>
                <w:left w:val="none" w:sz="0" w:space="0" w:color="auto"/>
                <w:bottom w:val="none" w:sz="0" w:space="0" w:color="auto"/>
                <w:right w:val="none" w:sz="0" w:space="0" w:color="auto"/>
              </w:divBdr>
            </w:div>
            <w:div w:id="1024019048">
              <w:marLeft w:val="100"/>
              <w:marRight w:val="66"/>
              <w:marTop w:val="0"/>
              <w:marBottom w:val="0"/>
              <w:divBdr>
                <w:top w:val="none" w:sz="0" w:space="0" w:color="auto"/>
                <w:left w:val="none" w:sz="0" w:space="0" w:color="auto"/>
                <w:bottom w:val="none" w:sz="0" w:space="0" w:color="auto"/>
                <w:right w:val="none" w:sz="0" w:space="0" w:color="auto"/>
              </w:divBdr>
            </w:div>
            <w:div w:id="1243443161">
              <w:marLeft w:val="0"/>
              <w:marRight w:val="0"/>
              <w:marTop w:val="0"/>
              <w:marBottom w:val="0"/>
              <w:divBdr>
                <w:top w:val="none" w:sz="0" w:space="0" w:color="auto"/>
                <w:left w:val="none" w:sz="0" w:space="0" w:color="auto"/>
                <w:bottom w:val="none" w:sz="0" w:space="0" w:color="auto"/>
                <w:right w:val="none" w:sz="0" w:space="0" w:color="auto"/>
              </w:divBdr>
            </w:div>
            <w:div w:id="1275089170">
              <w:marLeft w:val="0"/>
              <w:marRight w:val="0"/>
              <w:marTop w:val="4"/>
              <w:marBottom w:val="0"/>
              <w:divBdr>
                <w:top w:val="none" w:sz="0" w:space="0" w:color="auto"/>
                <w:left w:val="none" w:sz="0" w:space="0" w:color="auto"/>
                <w:bottom w:val="none" w:sz="0" w:space="0" w:color="auto"/>
                <w:right w:val="none" w:sz="0" w:space="0" w:color="auto"/>
              </w:divBdr>
            </w:div>
            <w:div w:id="1434663087">
              <w:marLeft w:val="100"/>
              <w:marRight w:val="105"/>
              <w:marTop w:val="0"/>
              <w:marBottom w:val="0"/>
              <w:divBdr>
                <w:top w:val="none" w:sz="0" w:space="0" w:color="auto"/>
                <w:left w:val="none" w:sz="0" w:space="0" w:color="auto"/>
                <w:bottom w:val="none" w:sz="0" w:space="0" w:color="auto"/>
                <w:right w:val="none" w:sz="0" w:space="0" w:color="auto"/>
              </w:divBdr>
            </w:div>
            <w:div w:id="1976249802">
              <w:marLeft w:val="100"/>
              <w:marRight w:val="0"/>
              <w:marTop w:val="0"/>
              <w:marBottom w:val="0"/>
              <w:divBdr>
                <w:top w:val="none" w:sz="0" w:space="0" w:color="auto"/>
                <w:left w:val="none" w:sz="0" w:space="0" w:color="auto"/>
                <w:bottom w:val="none" w:sz="0" w:space="0" w:color="auto"/>
                <w:right w:val="none" w:sz="0" w:space="0" w:color="auto"/>
              </w:divBdr>
            </w:div>
            <w:div w:id="2079207455">
              <w:marLeft w:val="0"/>
              <w:marRight w:val="0"/>
              <w:marTop w:val="0"/>
              <w:marBottom w:val="0"/>
              <w:divBdr>
                <w:top w:val="none" w:sz="0" w:space="0" w:color="auto"/>
                <w:left w:val="none" w:sz="0" w:space="0" w:color="auto"/>
                <w:bottom w:val="none" w:sz="0" w:space="0" w:color="auto"/>
                <w:right w:val="none" w:sz="0" w:space="0" w:color="auto"/>
              </w:divBdr>
            </w:div>
          </w:divsChild>
        </w:div>
        <w:div w:id="1835563020">
          <w:marLeft w:val="0"/>
          <w:marRight w:val="0"/>
          <w:marTop w:val="0"/>
          <w:marBottom w:val="0"/>
          <w:divBdr>
            <w:top w:val="none" w:sz="0" w:space="0" w:color="auto"/>
            <w:left w:val="none" w:sz="0" w:space="0" w:color="auto"/>
            <w:bottom w:val="none" w:sz="0" w:space="0" w:color="auto"/>
            <w:right w:val="none" w:sz="0" w:space="0" w:color="auto"/>
          </w:divBdr>
          <w:divsChild>
            <w:div w:id="605314008">
              <w:marLeft w:val="100"/>
              <w:marRight w:val="266"/>
              <w:marTop w:val="0"/>
              <w:marBottom w:val="0"/>
              <w:divBdr>
                <w:top w:val="none" w:sz="0" w:space="0" w:color="auto"/>
                <w:left w:val="none" w:sz="0" w:space="0" w:color="auto"/>
                <w:bottom w:val="none" w:sz="0" w:space="0" w:color="auto"/>
                <w:right w:val="none" w:sz="0" w:space="0" w:color="auto"/>
              </w:divBdr>
            </w:div>
            <w:div w:id="1381857493">
              <w:marLeft w:val="0"/>
              <w:marRight w:val="0"/>
              <w:marTop w:val="16"/>
              <w:marBottom w:val="0"/>
              <w:divBdr>
                <w:top w:val="none" w:sz="0" w:space="0" w:color="auto"/>
                <w:left w:val="none" w:sz="0" w:space="0" w:color="auto"/>
                <w:bottom w:val="none" w:sz="0" w:space="0" w:color="auto"/>
                <w:right w:val="none" w:sz="0" w:space="0" w:color="auto"/>
              </w:divBdr>
            </w:div>
            <w:div w:id="1406414814">
              <w:marLeft w:val="100"/>
              <w:marRight w:val="70"/>
              <w:marTop w:val="0"/>
              <w:marBottom w:val="0"/>
              <w:divBdr>
                <w:top w:val="none" w:sz="0" w:space="0" w:color="auto"/>
                <w:left w:val="none" w:sz="0" w:space="0" w:color="auto"/>
                <w:bottom w:val="none" w:sz="0" w:space="0" w:color="auto"/>
                <w:right w:val="none" w:sz="0" w:space="0" w:color="auto"/>
              </w:divBdr>
            </w:div>
            <w:div w:id="2145996801">
              <w:marLeft w:val="8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rve-casualty-corp.com/" TargetMode="External"/><Relationship Id="rId13" Type="http://schemas.openxmlformats.org/officeDocument/2006/relationships/hyperlink" Target="http://www.willis.com/" TargetMode="External"/><Relationship Id="rId18" Type="http://schemas.openxmlformats.org/officeDocument/2006/relationships/hyperlink" Target="https://www.capstoneassociated.com/press/perspective-on-reserve-mechanical-corp-v-commissioner-internal-revenue/policy-pric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illis.com/"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pstoneassociated.com/press/perspective-on-reserve-mechanical-corp-v-commissioner-internal-revenue/" TargetMode="External"/><Relationship Id="rId5" Type="http://schemas.openxmlformats.org/officeDocument/2006/relationships/webSettings" Target="webSettings.xml"/><Relationship Id="rId15" Type="http://schemas.openxmlformats.org/officeDocument/2006/relationships/hyperlink" Target="http://www.willis.com/" TargetMode="External"/><Relationship Id="rId10" Type="http://schemas.openxmlformats.org/officeDocument/2006/relationships/hyperlink" Target="https://www.reserve-casualty-corp.com/pdf/2018-09-28-Decision.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serve-casualty-corp.com/pdf/Reserve-Motion-for-Reconsideration.pdf" TargetMode="External"/><Relationship Id="rId14" Type="http://schemas.openxmlformats.org/officeDocument/2006/relationships/hyperlink" Target="http://www.capstoneassociated.com/"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taxcontroversy360.com/2016/10/types-of-tax-court-opinions-and-their-precedential-effect/" TargetMode="External"/><Relationship Id="rId7" Type="http://schemas.openxmlformats.org/officeDocument/2006/relationships/hyperlink" Target="https://www.treasury.gov/initiatives/fio/reports-and-notices/Documents/FIO%20-Reinsurance%20Report.pdf" TargetMode="External"/><Relationship Id="rId2" Type="http://schemas.openxmlformats.org/officeDocument/2006/relationships/hyperlink" Target="https://www.verisk.com/about/" TargetMode="External"/><Relationship Id="rId1" Type="http://schemas.openxmlformats.org/officeDocument/2006/relationships/hyperlink" Target="https://www.verisk.com/insurance/products/commercial-lines-manual-clm-information-on-isonet/" TargetMode="External"/><Relationship Id="rId6" Type="http://schemas.openxmlformats.org/officeDocument/2006/relationships/hyperlink" Target="https://www.captive.com/resources/captive-insurance-basic-information-index/reinsurance-for-captives" TargetMode="External"/><Relationship Id="rId5" Type="http://schemas.openxmlformats.org/officeDocument/2006/relationships/hyperlink" Target="https://www.captive.com/news/2017/02/01/group-captive-cell-captive-pooling-arrangements?utm_content=Blockbuster%20Article%20Teaser%20Two&amp;utm_source=Captive+Wire&amp;utm_campaign=93ce3b2c89-EMAIL_CAMPAIGN_2018_08_02_COPY_01&amp;utm_medium=email&amp;utm_term=0_7413756522-93ce3b2c89-190259813" TargetMode="External"/><Relationship Id="rId4" Type="http://schemas.openxmlformats.org/officeDocument/2006/relationships/hyperlink" Target="http://www.Capt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997C7-93A5-44C0-B19E-EA763CE22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13926</Words>
  <Characters>79381</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2019-01-02T21:54:00Z</dcterms:created>
  <dcterms:modified xsi:type="dcterms:W3CDTF">2019-01-02T22:25:00Z</dcterms:modified>
</cp:coreProperties>
</file>